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5 -->
  <w:body>
    <w:p>
      <w:pPr>
        <w:rPr>
          <w:lang w:val="en-US" w:eastAsia="en-US" w:bidi="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30pt">
            <v:imagedata r:id="rId4" o:title=""/>
          </v:shape>
        </w:pict>
      </w:r>
    </w:p>
    <w:p>
      <w:pPr>
        <w:keepNext w:val="0"/>
        <w:spacing w:before="360" w:after="0" w:line="260" w:lineRule="atLeast"/>
        <w:ind w:left="0" w:right="0" w:firstLine="0"/>
        <w:jc w:val="left"/>
        <w:rPr>
          <w:lang w:val="en-US" w:eastAsia="en-US" w:bidi="ar-SA"/>
        </w:rPr>
      </w:pPr>
      <w:r>
        <w:rPr>
          <w:rFonts w:ascii="Arial" w:eastAsia="Arial" w:hAnsi="Arial" w:cs="Arial"/>
          <w:b/>
          <w:color w:val="000000"/>
          <w:sz w:val="20"/>
          <w:lang w:val="en-US" w:eastAsia="en-US" w:bidi="ar-SA"/>
        </w:rPr>
        <w:t xml:space="preserve">User Name: </w:t>
      </w:r>
      <w:r>
        <w:rPr>
          <w:rFonts w:ascii="Arial" w:eastAsia="Arial" w:hAnsi="Arial" w:cs="Arial"/>
          <w:color w:val="000000"/>
          <w:sz w:val="20"/>
          <w:lang w:val="en-US" w:eastAsia="en-US" w:bidi="ar-SA"/>
        </w:rPr>
        <w:t>John Anooshian</w:t>
      </w:r>
    </w:p>
    <w:p>
      <w:pPr>
        <w:keepNext w:val="0"/>
        <w:spacing w:before="80" w:after="0" w:line="240" w:lineRule="atLeast"/>
        <w:ind w:left="0" w:right="0" w:firstLine="0"/>
        <w:jc w:val="left"/>
        <w:rPr>
          <w:lang w:val="en-US" w:eastAsia="en-US" w:bidi="ar-SA"/>
        </w:rPr>
      </w:pPr>
      <w:r>
        <w:rPr>
          <w:rFonts w:ascii="Arial" w:eastAsia="Arial" w:hAnsi="Arial" w:cs="Arial"/>
          <w:b/>
          <w:color w:val="000000"/>
          <w:sz w:val="20"/>
          <w:lang w:val="en-US" w:eastAsia="en-US" w:bidi="ar-SA"/>
        </w:rPr>
        <w:t xml:space="preserve">Date and Time: </w:t>
      </w:r>
      <w:r>
        <w:rPr>
          <w:rFonts w:ascii="Arial" w:eastAsia="Arial" w:hAnsi="Arial" w:cs="Arial"/>
          <w:color w:val="000000"/>
          <w:sz w:val="20"/>
          <w:lang w:val="en-US" w:eastAsia="en-US" w:bidi="ar-SA"/>
        </w:rPr>
        <w:t>Tuesday, November 10, 2020 3:42:00 PM EST</w:t>
      </w:r>
    </w:p>
    <w:p>
      <w:pPr>
        <w:keepNext w:val="0"/>
        <w:spacing w:before="80" w:after="0" w:line="240" w:lineRule="atLeast"/>
        <w:ind w:left="0" w:right="0" w:firstLine="0"/>
        <w:jc w:val="left"/>
        <w:rPr>
          <w:lang w:val="en-US" w:eastAsia="en-US" w:bidi="ar-SA"/>
        </w:rPr>
      </w:pPr>
      <w:r>
        <w:rPr>
          <w:rFonts w:ascii="Arial" w:eastAsia="Arial" w:hAnsi="Arial" w:cs="Arial"/>
          <w:b/>
          <w:color w:val="000000"/>
          <w:sz w:val="20"/>
          <w:lang w:val="en-US" w:eastAsia="en-US" w:bidi="ar-SA"/>
        </w:rPr>
        <w:t xml:space="preserve">Job Number: </w:t>
      </w:r>
      <w:r>
        <w:rPr>
          <w:rFonts w:ascii="Arial" w:eastAsia="Arial" w:hAnsi="Arial" w:cs="Arial"/>
          <w:color w:val="000000"/>
          <w:sz w:val="20"/>
          <w:lang w:val="en-US" w:eastAsia="en-US" w:bidi="ar-SA"/>
        </w:rPr>
        <w:t>129733042</w:t>
      </w:r>
    </w:p>
    <w:p>
      <w:pPr>
        <w:keepNext w:val="0"/>
        <w:spacing w:before="360" w:after="0" w:line="360" w:lineRule="atLeast"/>
        <w:ind w:left="0" w:right="0" w:firstLine="0"/>
        <w:jc w:val="both"/>
        <w:rPr>
          <w:lang w:val="en-US" w:eastAsia="en-US" w:bidi="ar-SA"/>
        </w:rPr>
      </w:pPr>
      <w:r>
        <w:rPr>
          <w:rFonts w:ascii="Arial" w:eastAsia="Arial" w:hAnsi="Arial" w:cs="Arial"/>
          <w:b/>
          <w:color w:val="000000"/>
          <w:lang w:val="en-US" w:eastAsia="en-US" w:bidi="ar-SA"/>
        </w:rPr>
        <w:t>Document (1)</w:t>
      </w:r>
    </w:p>
    <w:p>
      <w:pPr>
        <w:keepNext w:val="0"/>
        <w:spacing w:before="200" w:after="0" w:line="300" w:lineRule="atLeast"/>
        <w:ind w:left="440" w:right="0" w:hanging="290"/>
        <w:jc w:val="left"/>
        <w:rPr>
          <w:lang w:val="en-US" w:eastAsia="en-US" w:bidi="ar-SA"/>
        </w:rPr>
      </w:pPr>
      <w:r>
        <w:rPr>
          <w:rFonts w:ascii="Arial" w:eastAsia="Arial" w:hAnsi="Arial" w:cs="Arial"/>
          <w:sz w:val="20"/>
          <w:lang w:val="en-US" w:eastAsia="en-US" w:bidi="ar-SA"/>
        </w:rPr>
        <w:t>1.</w:t>
      </w:r>
      <w:hyperlink r:id="rId5" w:history="1">
        <w:r>
          <w:rPr>
            <w:rFonts w:ascii="Arial" w:eastAsia="Arial" w:hAnsi="Arial" w:cs="Arial"/>
            <w:color w:val="000000"/>
            <w:sz w:val="20"/>
            <w:u w:val="single"/>
            <w:shd w:val="clear" w:color="auto" w:fill="FFFFFF"/>
            <w:lang w:val="en-US" w:eastAsia="en-US" w:bidi="ar-SA"/>
          </w:rPr>
          <w:t xml:space="preserve"> </w:t>
        </w:r>
      </w:hyperlink>
      <w:hyperlink r:id="rId5" w:history="1">
        <w:r>
          <w:rPr>
            <w:rFonts w:ascii="Arial" w:eastAsia="Arial" w:hAnsi="Arial" w:cs="Arial"/>
            <w:i/>
            <w:color w:val="0077CC"/>
            <w:sz w:val="20"/>
            <w:u w:val="single"/>
            <w:shd w:val="clear" w:color="auto" w:fill="FFFFFF"/>
            <w:lang w:val="en-US" w:eastAsia="en-US" w:bidi="ar-SA"/>
          </w:rPr>
          <w:t>N&amp;S Rest. LLC v. Cumberland Mut. Fire Ins. Co., 2020 U.S. Dist. LEXIS 206972</w:t>
        </w:r>
      </w:hyperlink>
    </w:p>
    <w:p>
      <w:pPr>
        <w:keepNext w:val="0"/>
        <w:spacing w:before="80" w:after="0" w:line="240" w:lineRule="atLeast"/>
        <w:ind w:left="290" w:right="0" w:firstLine="0"/>
        <w:jc w:val="left"/>
        <w:rPr>
          <w:lang w:val="en-US" w:eastAsia="en-US" w:bidi="ar-SA"/>
        </w:rPr>
      </w:pPr>
      <w:r>
        <w:rPr>
          <w:rFonts w:ascii="Arial" w:eastAsia="Arial" w:hAnsi="Arial" w:cs="Arial"/>
          <w:b/>
          <w:color w:val="000000"/>
          <w:sz w:val="20"/>
          <w:lang w:val="en-US" w:eastAsia="en-US" w:bidi="ar-SA"/>
        </w:rPr>
        <w:t xml:space="preserve">Client/Matter: </w:t>
      </w:r>
      <w:r>
        <w:rPr>
          <w:rFonts w:ascii="Arial" w:eastAsia="Arial" w:hAnsi="Arial" w:cs="Arial"/>
          <w:color w:val="000000"/>
          <w:sz w:val="20"/>
          <w:lang w:val="en-US" w:eastAsia="en-US" w:bidi="ar-SA"/>
        </w:rPr>
        <w:t>-None-</w:t>
      </w:r>
    </w:p>
    <w:p>
      <w:pPr>
        <w:keepNext w:val="0"/>
        <w:spacing w:before="80" w:after="0" w:line="240" w:lineRule="atLeast"/>
        <w:ind w:left="290" w:right="0" w:firstLine="0"/>
        <w:jc w:val="left"/>
        <w:rPr>
          <w:lang w:val="en-US" w:eastAsia="en-US" w:bidi="ar-SA"/>
        </w:rPr>
      </w:pPr>
      <w:r>
        <w:rPr>
          <w:rFonts w:ascii="Arial" w:eastAsia="Arial" w:hAnsi="Arial" w:cs="Arial"/>
          <w:b/>
          <w:color w:val="000000"/>
          <w:sz w:val="20"/>
          <w:lang w:val="en-US" w:eastAsia="en-US" w:bidi="ar-SA"/>
        </w:rPr>
        <w:t xml:space="preserve">Search Terms: </w:t>
      </w:r>
      <w:r>
        <w:rPr>
          <w:rFonts w:ascii="Arial" w:eastAsia="Arial" w:hAnsi="Arial" w:cs="Arial"/>
          <w:color w:val="000000"/>
          <w:sz w:val="20"/>
          <w:lang w:val="en-US" w:eastAsia="en-US" w:bidi="ar-SA"/>
        </w:rPr>
        <w:t>N&amp;S Rest. LLC v. Cumberland Mut. Fire Ins. Co., 2020 U.S. Dist. LEXIS 206972</w:t>
      </w:r>
    </w:p>
    <w:p>
      <w:pPr>
        <w:keepNext w:val="0"/>
        <w:spacing w:before="80" w:after="0" w:line="240" w:lineRule="atLeast"/>
        <w:ind w:left="290" w:right="0" w:firstLine="0"/>
        <w:jc w:val="left"/>
        <w:rPr>
          <w:lang w:val="en-US" w:eastAsia="en-US" w:bidi="ar-SA"/>
        </w:rPr>
      </w:pPr>
      <w:r>
        <w:rPr>
          <w:rFonts w:ascii="Arial" w:eastAsia="Arial" w:hAnsi="Arial" w:cs="Arial"/>
          <w:b/>
          <w:color w:val="000000"/>
          <w:sz w:val="20"/>
          <w:lang w:val="en-US" w:eastAsia="en-US" w:bidi="ar-SA"/>
        </w:rPr>
        <w:t xml:space="preserve">Search Type: </w:t>
      </w:r>
      <w:r>
        <w:rPr>
          <w:rFonts w:ascii="Arial" w:eastAsia="Arial" w:hAnsi="Arial" w:cs="Arial"/>
          <w:color w:val="000000"/>
          <w:sz w:val="20"/>
          <w:lang w:val="en-US" w:eastAsia="en-US" w:bidi="ar-SA"/>
        </w:rPr>
        <w:t xml:space="preserve">Natural Language </w:t>
      </w:r>
    </w:p>
    <w:p>
      <w:pPr>
        <w:keepNext w:val="0"/>
        <w:spacing w:before="80" w:after="0" w:line="240" w:lineRule="atLeast"/>
        <w:ind w:left="290" w:right="0" w:firstLine="0"/>
        <w:jc w:val="left"/>
        <w:rPr>
          <w:lang w:val="en-US" w:eastAsia="en-US" w:bidi="ar-SA"/>
        </w:rPr>
      </w:pPr>
      <w:r>
        <w:rPr>
          <w:rFonts w:ascii="Arial" w:eastAsia="Arial" w:hAnsi="Arial" w:cs="Arial"/>
          <w:b/>
          <w:color w:val="000000"/>
          <w:sz w:val="20"/>
          <w:lang w:val="en-US" w:eastAsia="en-US" w:bidi="ar-SA"/>
        </w:rPr>
        <w:t xml:space="preserve">Narrowed by: </w:t>
      </w:r>
    </w:p>
    <w:p>
      <w:pPr>
        <w:keepNext w:val="0"/>
        <w:spacing w:after="0" w:line="100" w:lineRule="exact"/>
        <w:ind w:left="0" w:right="0" w:firstLine="0"/>
        <w:jc w:val="both"/>
        <w:rPr>
          <w:lang w:val="en-US" w:eastAsia="en-US" w:bidi="ar-SA"/>
        </w:rPr>
      </w:pPr>
    </w:p>
    <w:tbl>
      <w:tblPr>
        <w:tblStyle w:val="TableNormal"/>
        <w:tblW w:w="8000" w:type="dxa"/>
        <w:jc w:val="center"/>
        <w:tblBorders>
          <w:top w:val="nil"/>
          <w:left w:val="nil"/>
          <w:bottom w:val="nil"/>
          <w:right w:val="nil"/>
          <w:insideH w:val="nil"/>
          <w:insideV w:val="nil"/>
        </w:tblBorders>
        <w:tblLayout w:type="fixed"/>
        <w:tblCellMar>
          <w:left w:w="108" w:type="dxa"/>
          <w:right w:w="108" w:type="dxa"/>
        </w:tblCellMar>
      </w:tblPr>
      <w:tblGrid>
        <w:gridCol w:w="3000"/>
        <w:gridCol w:w="5000"/>
      </w:tblGrid>
      <w:tr>
        <w:tblPrEx>
          <w:tblW w:w="800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3000" w:type="dxa"/>
          </w:tcPr>
          <w:p>
            <w:pPr>
              <w:keepNext w:val="0"/>
              <w:spacing w:after="0" w:line="220" w:lineRule="atLeast"/>
              <w:ind w:left="0" w:right="0" w:firstLine="0"/>
              <w:jc w:val="left"/>
              <w:rPr>
                <w:lang w:val="en-US" w:eastAsia="en-US" w:bidi="ar-SA"/>
              </w:rPr>
            </w:pPr>
            <w:r>
              <w:rPr>
                <w:rFonts w:ascii="Arial" w:eastAsia="Arial" w:hAnsi="Arial" w:cs="Arial"/>
                <w:b/>
                <w:color w:val="000000"/>
                <w:sz w:val="18"/>
                <w:lang w:val="en-US" w:eastAsia="en-US" w:bidi="ar-SA"/>
              </w:rPr>
              <w:t>Content Type</w:t>
            </w:r>
          </w:p>
        </w:tc>
        <w:tc>
          <w:tcPr>
            <w:tcW w:w="5000" w:type="dxa"/>
          </w:tcPr>
          <w:p>
            <w:pPr>
              <w:keepNext w:val="0"/>
              <w:spacing w:after="0" w:line="220" w:lineRule="atLeast"/>
              <w:ind w:left="0" w:right="0" w:firstLine="0"/>
              <w:jc w:val="left"/>
              <w:rPr>
                <w:lang w:val="en-US" w:eastAsia="en-US" w:bidi="ar-SA"/>
              </w:rPr>
            </w:pPr>
            <w:r>
              <w:rPr>
                <w:rFonts w:ascii="Arial" w:eastAsia="Arial" w:hAnsi="Arial" w:cs="Arial"/>
                <w:b/>
                <w:color w:val="000000"/>
                <w:sz w:val="18"/>
                <w:lang w:val="en-US" w:eastAsia="en-US" w:bidi="ar-SA"/>
              </w:rPr>
              <w:t>Narrowed by</w:t>
            </w:r>
          </w:p>
        </w:tc>
      </w:tr>
      <w:tr>
        <w:tblPrEx>
          <w:tblW w:w="8000" w:type="dxa"/>
          <w:jc w:val="center"/>
          <w:tblLayout w:type="fixed"/>
          <w:tblCellMar>
            <w:left w:w="108" w:type="dxa"/>
            <w:right w:w="108" w:type="dxa"/>
          </w:tblCellMar>
        </w:tblPrEx>
        <w:trPr>
          <w:jc w:val="center"/>
        </w:trPr>
        <w:tc>
          <w:tcPr>
            <w:tcW w:w="3000" w:type="dxa"/>
          </w:tcPr>
          <w:p>
            <w:pPr>
              <w:keepNext w:val="0"/>
              <w:spacing w:after="0" w:line="220" w:lineRule="atLeast"/>
              <w:ind w:left="0" w:right="0" w:firstLine="0"/>
              <w:jc w:val="left"/>
              <w:rPr>
                <w:lang w:val="en-US" w:eastAsia="en-US" w:bidi="ar-SA"/>
              </w:rPr>
            </w:pPr>
            <w:r>
              <w:rPr>
                <w:rFonts w:ascii="Arial" w:eastAsia="Arial" w:hAnsi="Arial" w:cs="Arial"/>
                <w:color w:val="000000"/>
                <w:sz w:val="18"/>
                <w:lang w:val="en-US" w:eastAsia="en-US" w:bidi="ar-SA"/>
              </w:rPr>
              <w:t>Cases</w:t>
            </w:r>
          </w:p>
        </w:tc>
        <w:tc>
          <w:tcPr>
            <w:tcW w:w="5000" w:type="dxa"/>
          </w:tcPr>
          <w:p>
            <w:pPr>
              <w:keepNext w:val="0"/>
              <w:spacing w:after="0" w:line="220" w:lineRule="atLeast"/>
              <w:ind w:left="0" w:right="0" w:firstLine="0"/>
              <w:jc w:val="left"/>
              <w:rPr>
                <w:lang w:val="en-US" w:eastAsia="en-US" w:bidi="ar-SA"/>
              </w:rPr>
            </w:pPr>
            <w:r>
              <w:rPr>
                <w:rFonts w:ascii="Arial" w:eastAsia="Arial" w:hAnsi="Arial" w:cs="Arial"/>
                <w:color w:val="000000"/>
                <w:sz w:val="18"/>
                <w:lang w:val="en-US" w:eastAsia="en-US" w:bidi="ar-SA"/>
              </w:rPr>
              <w:t>-None-</w:t>
            </w:r>
          </w:p>
        </w:tc>
      </w:tr>
    </w:tbl>
    <w:p>
      <w:pPr>
        <w:rPr>
          <w:lang w:val="en-US" w:eastAsia="en-US" w:bidi="ar-SA"/>
        </w:rPr>
        <w:sectPr>
          <w:headerReference w:type="even" r:id="rId6"/>
          <w:headerReference w:type="default" r:id="rId7"/>
          <w:footerReference w:type="even" r:id="rId8"/>
          <w:footerReference w:type="default" r:id="rId9"/>
          <w:headerReference w:type="first" r:id="rId10"/>
          <w:footerReference w:type="first" r:id="rId11"/>
          <w:type w:val="nextPage"/>
          <w:pgMar w:top="840" w:right="1080" w:bottom="840" w:left="1080" w:header="0" w:footer="0"/>
          <w:pgNumType w:fmt="decimal"/>
          <w:cols w:space="720"/>
        </w:sectPr>
      </w:pPr>
    </w:p>
    <w:p>
      <w:pPr>
        <w:rPr>
          <w:lang w:val="en-US" w:eastAsia="en-US" w:bidi="ar-SA"/>
        </w:rPr>
        <w:sectPr>
          <w:headerReference w:type="even" r:id="rId12"/>
          <w:headerReference w:type="default" r:id="rId13"/>
          <w:footerReference w:type="even" r:id="rId14"/>
          <w:footerReference w:type="default" r:id="rId15"/>
          <w:headerReference w:type="first" r:id="rId16"/>
          <w:footerReference w:type="first" r:id="rId17"/>
          <w:type w:val="nextPage"/>
          <w:pgSz w:w="12240" w:h="15840"/>
          <w:pgMar w:top="840" w:right="1000" w:bottom="840" w:left="1000" w:header="400" w:footer="400"/>
          <w:pgNumType w:fmt="decimal"/>
          <w:cols w:space="720"/>
          <w:titlePg/>
        </w:sectPr>
      </w:pPr>
    </w:p>
    <w:p>
      <w:pPr>
        <w:rPr>
          <w:lang w:val="en-US" w:eastAsia="en-US" w:bidi="ar-SA"/>
        </w:rPr>
      </w:pPr>
      <w:bookmarkStart w:id="0" w:name="Bookmark_1"/>
      <w:bookmarkEnd w:id="0"/>
    </w:p>
    <w:p>
      <w:pPr>
        <w:rPr>
          <w:lang w:val="en-US" w:eastAsia="en-US" w:bidi="ar-SA"/>
        </w:rPr>
      </w:pPr>
      <w:r>
        <w:rPr>
          <w:rFonts w:ascii="arial" w:eastAsia="arial" w:hAnsi="arial" w:cs="arial"/>
          <w:color w:val="000000"/>
          <w:sz w:val="18"/>
          <w:lang w:val="en-US" w:eastAsia="en-US" w:bidi="ar-SA"/>
        </w:rPr>
        <w:t xml:space="preserve">No </w:t>
      </w:r>
      <w:r>
        <w:rPr>
          <w:rFonts w:ascii="arial" w:eastAsia="arial" w:hAnsi="arial" w:cs="arial"/>
          <w:i/>
          <w:color w:val="000000"/>
          <w:sz w:val="18"/>
          <w:lang w:val="en-US" w:eastAsia="en-US" w:bidi="ar-SA"/>
        </w:rPr>
        <w:t>Shepard’s</w:t>
      </w:r>
      <w:r>
        <w:rPr>
          <w:rFonts w:ascii="arial" w:eastAsia="arial" w:hAnsi="arial" w:cs="arial"/>
          <w:color w:val="000000"/>
          <w:sz w:val="18"/>
          <w:lang w:val="en-US" w:eastAsia="en-US" w:bidi="ar-SA"/>
        </w:rPr>
        <w:t>  Signal™</w:t>
        <w:cr/>
        <w:t>As of: November 10, 2020 8:42 PM Z</w:t>
      </w:r>
    </w:p>
    <w:p>
      <w:pPr>
        <w:keepNext w:val="0"/>
        <w:widowControl w:val="0"/>
        <w:spacing w:before="240" w:after="200" w:line="340" w:lineRule="atLeast"/>
        <w:ind w:left="0" w:right="0" w:firstLine="0"/>
        <w:jc w:val="center"/>
        <w:outlineLvl w:val="0"/>
        <w:rPr>
          <w:rFonts w:ascii="Arial" w:hAnsi="Arial" w:cs="Arial"/>
          <w:b/>
          <w:bCs/>
          <w:kern w:val="32"/>
          <w:sz w:val="32"/>
          <w:szCs w:val="32"/>
          <w:lang w:val="en-US" w:eastAsia="en-US" w:bidi="ar-SA"/>
        </w:rPr>
      </w:pPr>
      <w:hyperlink r:id="rId18" w:history="1">
        <w:r>
          <w:rPr>
            <w:rFonts w:ascii="arial" w:eastAsia="arial" w:hAnsi="arial" w:cs="arial"/>
            <w:b/>
            <w:bCs/>
            <w:i/>
            <w:color w:val="0077CC"/>
            <w:kern w:val="32"/>
            <w:sz w:val="28"/>
            <w:szCs w:val="32"/>
            <w:u w:val="single"/>
            <w:shd w:val="clear" w:color="auto" w:fill="FFFFFF"/>
            <w:lang w:val="en-US" w:eastAsia="en-US" w:bidi="ar-SA"/>
          </w:rPr>
          <w:t>N&amp;S Rest. LLC v. Cumberland Mut. Fire Ins. Co.</w:t>
        </w:r>
      </w:hyperlink>
    </w:p>
    <w:p>
      <w:pPr>
        <w:keepNext w:val="0"/>
        <w:widowControl w:val="0"/>
        <w:spacing w:before="120" w:after="0" w:line="260" w:lineRule="atLeast"/>
        <w:ind w:left="0" w:right="0" w:firstLine="0"/>
        <w:jc w:val="center"/>
        <w:rPr>
          <w:lang w:val="en-US" w:eastAsia="en-US" w:bidi="ar-SA"/>
        </w:rPr>
      </w:pPr>
      <w:r>
        <w:rPr>
          <w:rFonts w:ascii="arial" w:eastAsia="arial" w:hAnsi="arial" w:cs="arial"/>
          <w:color w:val="000000"/>
          <w:sz w:val="20"/>
          <w:lang w:val="en-US" w:eastAsia="en-US" w:bidi="ar-SA"/>
        </w:rPr>
        <w:t>United States District Court for the District of New Jersey</w:t>
      </w:r>
    </w:p>
    <w:p>
      <w:pPr>
        <w:keepNext w:val="0"/>
        <w:widowControl w:val="0"/>
        <w:spacing w:before="120" w:after="0" w:line="260" w:lineRule="atLeast"/>
        <w:ind w:left="0" w:right="0" w:firstLine="0"/>
        <w:jc w:val="center"/>
        <w:rPr>
          <w:lang w:val="en-US" w:eastAsia="en-US" w:bidi="ar-SA"/>
        </w:rPr>
      </w:pPr>
      <w:r>
        <w:rPr>
          <w:rFonts w:ascii="arial" w:eastAsia="arial" w:hAnsi="arial" w:cs="arial"/>
          <w:color w:val="000000"/>
          <w:sz w:val="20"/>
          <w:lang w:val="en-US" w:eastAsia="en-US" w:bidi="ar-SA"/>
        </w:rPr>
        <w:t>November 5, 2020, Decided; November 5, 2020, Filed</w:t>
      </w:r>
    </w:p>
    <w:p>
      <w:pPr>
        <w:keepNext w:val="0"/>
        <w:widowControl w:val="0"/>
        <w:spacing w:before="120" w:after="0" w:line="260" w:lineRule="atLeast"/>
        <w:ind w:left="0" w:right="0" w:firstLine="0"/>
        <w:jc w:val="center"/>
        <w:rPr>
          <w:lang w:val="en-US" w:eastAsia="en-US" w:bidi="ar-SA"/>
        </w:rPr>
        <w:sectPr>
          <w:type w:val="continuous"/>
          <w:pgMar w:top="840" w:right="1000" w:bottom="840" w:left="1000" w:header="400" w:footer="400"/>
          <w:pgNumType w:fmt="decimal"/>
          <w:cols w:num="1" w:space="240" w:equalWidth="1"/>
        </w:sectPr>
      </w:pPr>
      <w:r>
        <w:rPr>
          <w:rFonts w:ascii="arial" w:eastAsia="arial" w:hAnsi="arial" w:cs="arial"/>
          <w:color w:val="000000"/>
          <w:sz w:val="20"/>
          <w:lang w:val="en-US" w:eastAsia="en-US" w:bidi="ar-SA"/>
        </w:rPr>
        <w:t>Civil No. 20-05289 (RBK/KMW)</w:t>
      </w:r>
    </w:p>
    <w:p>
      <w:pPr>
        <w:keepNext w:val="0"/>
        <w:widowControl w:val="0"/>
        <w:spacing w:after="0" w:line="240" w:lineRule="atLeast"/>
        <w:ind w:right="0"/>
        <w:jc w:val="both"/>
        <w:rPr>
          <w:lang w:val="en-US" w:eastAsia="en-US" w:bidi="ar-SA"/>
        </w:rPr>
      </w:pPr>
    </w:p>
    <w:p>
      <w:pPr>
        <w:keepNext w:val="0"/>
        <w:widowControl w:val="0"/>
        <w:spacing w:before="200" w:after="0" w:line="240" w:lineRule="atLeast"/>
        <w:ind w:left="0" w:right="0" w:firstLine="0"/>
        <w:jc w:val="left"/>
        <w:rPr>
          <w:lang w:val="en-US" w:eastAsia="en-US" w:bidi="ar-SA"/>
        </w:rPr>
      </w:pPr>
      <w:bookmarkStart w:id="1" w:name="Reporter"/>
      <w:bookmarkEnd w:id="1"/>
      <w:r>
        <w:rPr>
          <w:rFonts w:ascii="arial" w:eastAsia="arial" w:hAnsi="arial" w:cs="arial"/>
          <w:b/>
          <w:color w:val="000000"/>
          <w:sz w:val="18"/>
          <w:lang w:val="en-US" w:eastAsia="en-US" w:bidi="ar-SA"/>
        </w:rPr>
        <w:t>Reporter</w:t>
      </w:r>
    </w:p>
    <w:p>
      <w:pPr>
        <w:keepNext w:val="0"/>
        <w:widowControl w:val="0"/>
        <w:spacing w:after="0" w:line="240" w:lineRule="atLeast"/>
        <w:ind w:left="0" w:right="0" w:firstLine="0"/>
        <w:jc w:val="left"/>
        <w:rPr>
          <w:lang w:val="en-US" w:eastAsia="en-US" w:bidi="ar-SA"/>
        </w:rPr>
        <w:sectPr>
          <w:type w:val="continuous"/>
          <w:pgMar w:top="840" w:right="1000" w:bottom="840" w:left="1000" w:header="400" w:footer="400"/>
          <w:pgNumType w:fmt="decimal"/>
          <w:cols w:num="1" w:space="240" w:equalWidth="1"/>
        </w:sectPr>
      </w:pPr>
      <w:r>
        <w:rPr>
          <w:rFonts w:ascii="arial" w:eastAsia="arial" w:hAnsi="arial" w:cs="arial"/>
          <w:color w:val="000000"/>
          <w:sz w:val="18"/>
          <w:lang w:val="en-US" w:eastAsia="en-US" w:bidi="ar-SA"/>
        </w:rPr>
        <w:t>2020 U.S. Dist. LEXIS 206972 *</w:t>
      </w:r>
      <w:r>
        <w:rPr>
          <w:rFonts w:ascii="arial" w:eastAsia="arial" w:hAnsi="arial" w:cs="arial"/>
          <w:color w:val="000000"/>
          <w:sz w:val="18"/>
          <w:lang w:val="en-US" w:eastAsia="en-US" w:bidi="ar-SA"/>
        </w:rPr>
        <w:t xml:space="preserve">; </w:t>
      </w:r>
      <w:r>
        <w:rPr>
          <w:rFonts w:ascii="arial" w:eastAsia="arial" w:hAnsi="arial" w:cs="arial"/>
          <w:color w:val="000000"/>
          <w:sz w:val="18"/>
          <w:lang w:val="en-US" w:eastAsia="en-US" w:bidi="ar-SA"/>
        </w:rPr>
        <w:t>2020 WL 6501722</w:t>
      </w:r>
    </w:p>
    <w:p>
      <w:pPr>
        <w:keepNext w:val="0"/>
        <w:widowControl w:val="0"/>
        <w:spacing w:before="120" w:after="0" w:line="260" w:lineRule="atLeast"/>
        <w:ind w:left="0" w:right="0" w:firstLine="0"/>
        <w:jc w:val="left"/>
        <w:rPr>
          <w:lang w:val="en-US" w:eastAsia="en-US" w:bidi="ar-SA"/>
        </w:rPr>
      </w:pPr>
      <w:r>
        <w:rPr>
          <w:lang w:val="en-US" w:eastAsia="en-US" w:bidi="ar-SA"/>
        </w:rPr>
        <w:br/>
      </w:r>
      <w:r>
        <w:rPr>
          <w:rFonts w:ascii="arial" w:eastAsia="arial" w:hAnsi="arial" w:cs="arial"/>
          <w:color w:val="000000"/>
          <w:sz w:val="20"/>
          <w:lang w:val="en-US" w:eastAsia="en-US" w:bidi="ar-SA"/>
        </w:rPr>
        <w:t>N&amp;S RESTAURANT LLC, Plaintiff, v. CUMBERLAND MUTUAL FIRE INSURANCE COMPANY, Defendant.</w:t>
      </w:r>
      <w:r>
        <w:rPr>
          <w:lang w:val="en-US" w:eastAsia="en-US" w:bidi="ar-SA"/>
        </w:rPr>
        <w:br/>
      </w:r>
      <w:r>
        <w:rPr>
          <w:lang w:val="en-US" w:eastAsia="en-US" w:bidi="ar-SA"/>
        </w:rPr>
        <w:br/>
      </w:r>
    </w:p>
    <w:p>
      <w:pPr>
        <w:keepNext w:val="0"/>
        <w:widowControl w:val="0"/>
        <w:spacing w:before="240" w:after="0" w:line="260" w:lineRule="atLeast"/>
        <w:ind w:left="0" w:right="0" w:firstLine="0"/>
        <w:jc w:val="both"/>
        <w:rPr>
          <w:lang w:val="en-US" w:eastAsia="en-US" w:bidi="ar-SA"/>
        </w:rPr>
      </w:pPr>
      <w:bookmarkStart w:id="2" w:name="Notice"/>
      <w:bookmarkEnd w:id="2"/>
      <w:r>
        <w:rPr>
          <w:rFonts w:ascii="arial" w:eastAsia="arial" w:hAnsi="arial" w:cs="arial"/>
          <w:b/>
          <w:color w:val="000000"/>
          <w:sz w:val="20"/>
          <w:lang w:val="en-US" w:eastAsia="en-US" w:bidi="ar-SA"/>
        </w:rPr>
        <w:t>Notice:</w:t>
      </w:r>
      <w:r>
        <w:rPr>
          <w:rFonts w:ascii="arial" w:eastAsia="arial" w:hAnsi="arial" w:cs="arial"/>
          <w:color w:val="000000"/>
          <w:sz w:val="20"/>
          <w:lang w:val="en-US" w:eastAsia="en-US" w:bidi="ar-SA"/>
        </w:rPr>
        <w:t> </w:t>
      </w:r>
      <w:bookmarkStart w:id="3" w:name="Bookmark_para_1"/>
      <w:bookmarkEnd w:id="3"/>
      <w:r>
        <w:rPr>
          <w:rFonts w:ascii="arial" w:eastAsia="arial" w:hAnsi="arial" w:cs="arial"/>
          <w:color w:val="000000"/>
          <w:sz w:val="20"/>
          <w:lang w:val="en-US" w:eastAsia="en-US" w:bidi="ar-SA"/>
        </w:rPr>
        <w:t>NOT FOR PUBLICATION</w:t>
      </w:r>
    </w:p>
    <w:p>
      <w:pPr>
        <w:keepNext w:val="0"/>
        <w:widowControl w:val="0"/>
        <w:spacing w:after="0" w:line="260" w:lineRule="atLeast"/>
        <w:ind w:left="0" w:right="0" w:firstLine="0"/>
        <w:jc w:val="left"/>
        <w:rPr>
          <w:lang w:val="en-US" w:eastAsia="en-US" w:bidi="ar-SA"/>
        </w:rPr>
      </w:pPr>
      <w:r>
        <w:rPr>
          <w:lang w:val="en-US" w:eastAsia="en-US" w:bidi="ar-SA"/>
        </w:rPr>
        <w:br/>
      </w:r>
      <w:r>
        <w:rPr>
          <w:lang w:val="en-US" w:eastAsia="en-US" w:bidi="ar-SA"/>
        </w:rPr>
        <w:br/>
      </w:r>
    </w:p>
    <w:p>
      <w:pPr>
        <w:keepNext/>
        <w:widowControl w:val="0"/>
        <w:spacing w:before="240" w:after="0" w:line="340" w:lineRule="atLeast"/>
        <w:ind w:left="0" w:right="0" w:firstLine="0"/>
        <w:jc w:val="left"/>
        <w:rPr>
          <w:lang w:val="en-US" w:eastAsia="en-US" w:bidi="ar-SA"/>
        </w:rPr>
      </w:pPr>
      <w:bookmarkStart w:id="4" w:name="Core Terms"/>
      <w:bookmarkEnd w:id="4"/>
      <w:r>
        <w:rPr>
          <w:rFonts w:ascii="arial" w:eastAsia="arial" w:hAnsi="arial" w:cs="arial"/>
          <w:b/>
          <w:color w:val="000000"/>
          <w:sz w:val="28"/>
          <w:lang w:val="en-US" w:eastAsia="en-US" w:bidi="ar-SA"/>
        </w:rPr>
        <w:t>Core Terms</w:t>
      </w:r>
    </w:p>
    <w:p>
      <w:pPr>
        <w:spacing w:line="60" w:lineRule="exact"/>
        <w:rPr>
          <w:lang w:val="en-US" w:eastAsia="en-US" w:bidi="ar-SA"/>
        </w:rPr>
      </w:pPr>
      <w:r>
        <w:pict>
          <v:line id="_x0000_s1026" style="position:absolute;z-index:251658240" from="0,2pt" to="251pt,2pt" strokecolor="#009ddb" strokeweight="2pt">
            <v:stroke linestyle="single"/>
            <w10:wrap type="topAndBottom"/>
          </v:line>
        </w:pict>
      </w:r>
    </w:p>
    <w:p>
      <w:pPr>
        <w:keepNext w:val="0"/>
        <w:widowControl w:val="0"/>
        <w:spacing w:before="120" w:after="0" w:line="260" w:lineRule="atLeast"/>
        <w:ind w:left="0" w:right="0" w:firstLine="0"/>
        <w:jc w:val="left"/>
        <w:rPr>
          <w:lang w:val="en-US" w:eastAsia="en-US" w:bidi="ar-SA"/>
        </w:rPr>
      </w:pPr>
      <w:r>
        <w:rPr>
          <w:rFonts w:ascii="arial" w:eastAsia="arial" w:hAnsi="arial" w:cs="arial"/>
          <w:color w:val="000000"/>
          <w:sz w:val="20"/>
          <w:lang w:val="en-US" w:eastAsia="en-US" w:bidi="ar-SA"/>
        </w:rPr>
        <w:t>Virus, coverage, insured, insurance policy, cause of loss, sequence, motion to dismiss, indirectly, physical loss, concurrently, contributes, described premises, civil authority, provisions, causation, closure, induces, allegations, proximate, courts</w:t>
      </w:r>
      <w:r>
        <w:rPr>
          <w:lang w:val="en-US" w:eastAsia="en-US" w:bidi="ar-SA"/>
        </w:rPr>
        <w:br/>
      </w:r>
      <w:r>
        <w:rPr>
          <w:lang w:val="en-US" w:eastAsia="en-US" w:bidi="ar-SA"/>
        </w:rPr>
        <w:br/>
      </w:r>
    </w:p>
    <w:p>
      <w:pPr>
        <w:keepNext w:val="0"/>
        <w:widowControl w:val="0"/>
        <w:spacing w:before="240" w:after="0" w:line="260" w:lineRule="atLeast"/>
        <w:ind w:left="0" w:right="0" w:firstLine="0"/>
        <w:jc w:val="left"/>
        <w:rPr>
          <w:lang w:val="en-US" w:eastAsia="en-US" w:bidi="ar-SA"/>
        </w:rPr>
      </w:pPr>
      <w:bookmarkStart w:id="5" w:name="Counsel"/>
      <w:bookmarkEnd w:id="5"/>
      <w:r>
        <w:rPr>
          <w:rFonts w:ascii="arial" w:eastAsia="arial" w:hAnsi="arial" w:cs="arial"/>
          <w:b/>
          <w:color w:val="000000"/>
          <w:sz w:val="20"/>
          <w:lang w:val="en-US" w:eastAsia="en-US" w:bidi="ar-SA"/>
        </w:rPr>
        <w:t>Counsel:</w:t>
      </w:r>
      <w:r>
        <w:rPr>
          <w:rFonts w:ascii="arial" w:eastAsia="arial" w:hAnsi="arial" w:cs="arial"/>
          <w:color w:val="000000"/>
          <w:sz w:val="20"/>
          <w:lang w:val="en-US" w:eastAsia="en-US" w:bidi="ar-SA"/>
        </w:rPr>
        <w:t> </w:t>
      </w:r>
      <w:r>
        <w:rPr>
          <w:rFonts w:ascii="arial" w:eastAsia="arial" w:hAnsi="arial" w:cs="arial"/>
          <w:b/>
          <w:color w:val="000000"/>
          <w:sz w:val="20"/>
          <w:lang w:val="en-US" w:eastAsia="en-US" w:bidi="ar-SA"/>
        </w:rPr>
        <w:t> [*1] </w:t>
      </w:r>
      <w:r>
        <w:rPr>
          <w:rFonts w:ascii="arial" w:eastAsia="arial" w:hAnsi="arial" w:cs="arial"/>
          <w:color w:val="000000"/>
          <w:sz w:val="20"/>
          <w:lang w:val="en-US" w:eastAsia="en-US" w:bidi="ar-SA"/>
        </w:rPr>
        <w:t>For N&amp;S; RESTAURANT LLC, on behalf of itself and all others similarly situated, Plaintiff: CHRISTOPHER A. SEEGER, SEEGER WEISS LLP, RIDGEFIELD PARK, NJ; LINDSEY H. TAYLOR, CARELLA, BYRNE, CECCHI, OLSTEIN, BRODY &amp; AGNELLO, ROSELAND, NJ; JAMES E. CECCHI, CARELLA BYRNE CECCHI OLSTEIN BRODY &amp; AGNELLO, P.C., ROSELAND, NJ.</w:t>
      </w:r>
      <w:r>
        <w:rPr>
          <w:lang w:val="en-US" w:eastAsia="en-US" w:bidi="ar-SA"/>
        </w:rPr>
        <w:br/>
      </w:r>
    </w:p>
    <w:p>
      <w:pPr>
        <w:keepNext w:val="0"/>
        <w:widowControl w:val="0"/>
        <w:spacing w:before="120" w:after="0" w:line="260" w:lineRule="atLeast"/>
        <w:ind w:left="0" w:right="0" w:firstLine="0"/>
        <w:jc w:val="left"/>
        <w:rPr>
          <w:lang w:val="en-US" w:eastAsia="en-US" w:bidi="ar-SA"/>
        </w:rPr>
      </w:pPr>
      <w:r>
        <w:rPr>
          <w:rFonts w:ascii="arial" w:eastAsia="arial" w:hAnsi="arial" w:cs="arial"/>
          <w:color w:val="000000"/>
          <w:sz w:val="20"/>
          <w:lang w:val="en-US" w:eastAsia="en-US" w:bidi="ar-SA"/>
        </w:rPr>
        <w:t>For CUMBERLAND MUTUAL FIRE INSURANCE COMPANY, Defendant: ERIC L. HARRISON, LEAD ATTORNEY, METHFESSEL &amp; WERBEL, ESQS., EDISON, NJ.</w:t>
      </w:r>
      <w:r>
        <w:rPr>
          <w:lang w:val="en-US" w:eastAsia="en-US" w:bidi="ar-SA"/>
        </w:rPr>
        <w:br/>
      </w:r>
      <w:r>
        <w:rPr>
          <w:lang w:val="en-US" w:eastAsia="en-US" w:bidi="ar-SA"/>
        </w:rPr>
        <w:br/>
      </w:r>
    </w:p>
    <w:p>
      <w:pPr>
        <w:keepNext w:val="0"/>
        <w:widowControl w:val="0"/>
        <w:spacing w:before="240" w:after="0" w:line="260" w:lineRule="atLeast"/>
        <w:ind w:left="0" w:right="0" w:firstLine="0"/>
        <w:jc w:val="left"/>
        <w:rPr>
          <w:lang w:val="en-US" w:eastAsia="en-US" w:bidi="ar-SA"/>
        </w:rPr>
      </w:pPr>
      <w:bookmarkStart w:id="6" w:name="Judges"/>
      <w:bookmarkEnd w:id="6"/>
      <w:r>
        <w:rPr>
          <w:rFonts w:ascii="arial" w:eastAsia="arial" w:hAnsi="arial" w:cs="arial"/>
          <w:b/>
          <w:color w:val="000000"/>
          <w:sz w:val="20"/>
          <w:lang w:val="en-US" w:eastAsia="en-US" w:bidi="ar-SA"/>
        </w:rPr>
        <w:t>Judges:</w:t>
      </w:r>
      <w:r>
        <w:rPr>
          <w:rFonts w:ascii="arial" w:eastAsia="arial" w:hAnsi="arial" w:cs="arial"/>
          <w:color w:val="000000"/>
          <w:sz w:val="20"/>
          <w:lang w:val="en-US" w:eastAsia="en-US" w:bidi="ar-SA"/>
        </w:rPr>
        <w:t> ROBERT B. KUGLER, United States District Judge.</w:t>
      </w:r>
      <w:r>
        <w:rPr>
          <w:lang w:val="en-US" w:eastAsia="en-US" w:bidi="ar-SA"/>
        </w:rPr>
        <w:br/>
      </w:r>
      <w:r>
        <w:rPr>
          <w:lang w:val="en-US" w:eastAsia="en-US" w:bidi="ar-SA"/>
        </w:rPr>
        <w:br/>
      </w:r>
    </w:p>
    <w:p>
      <w:pPr>
        <w:keepNext w:val="0"/>
        <w:widowControl w:val="0"/>
        <w:spacing w:before="240" w:after="0" w:line="260" w:lineRule="atLeast"/>
        <w:ind w:left="0" w:right="0" w:firstLine="0"/>
        <w:jc w:val="left"/>
        <w:rPr>
          <w:lang w:val="en-US" w:eastAsia="en-US" w:bidi="ar-SA"/>
        </w:rPr>
      </w:pPr>
      <w:bookmarkStart w:id="7" w:name="Opinion by"/>
      <w:bookmarkEnd w:id="7"/>
      <w:r>
        <w:rPr>
          <w:rFonts w:ascii="arial" w:eastAsia="arial" w:hAnsi="arial" w:cs="arial"/>
          <w:b/>
          <w:color w:val="000000"/>
          <w:sz w:val="20"/>
          <w:lang w:val="en-US" w:eastAsia="en-US" w:bidi="ar-SA"/>
        </w:rPr>
        <w:t>Opinion by:</w:t>
      </w:r>
      <w:r>
        <w:rPr>
          <w:rFonts w:ascii="arial" w:eastAsia="arial" w:hAnsi="arial" w:cs="arial"/>
          <w:color w:val="000000"/>
          <w:sz w:val="20"/>
          <w:lang w:val="en-US" w:eastAsia="en-US" w:bidi="ar-SA"/>
        </w:rPr>
        <w:t> ROBERT B. KUGLER</w:t>
      </w:r>
      <w:r>
        <w:rPr>
          <w:lang w:val="en-US" w:eastAsia="en-US" w:bidi="ar-SA"/>
        </w:rPr>
        <w:br/>
      </w:r>
      <w:r>
        <w:rPr>
          <w:lang w:val="en-US" w:eastAsia="en-US" w:bidi="ar-SA"/>
        </w:rPr>
        <w:br/>
      </w:r>
    </w:p>
    <w:p>
      <w:pPr>
        <w:keepNext/>
        <w:widowControl w:val="0"/>
        <w:spacing w:before="240" w:after="0" w:line="340" w:lineRule="atLeast"/>
        <w:ind w:left="0" w:right="0" w:firstLine="0"/>
        <w:jc w:val="left"/>
        <w:rPr>
          <w:lang w:val="en-US" w:eastAsia="en-US" w:bidi="ar-SA"/>
        </w:rPr>
      </w:pPr>
      <w:bookmarkStart w:id="8" w:name="Opinion"/>
      <w:bookmarkEnd w:id="8"/>
      <w:r>
        <w:rPr>
          <w:rFonts w:ascii="arial" w:eastAsia="arial" w:hAnsi="arial" w:cs="arial"/>
          <w:b/>
          <w:color w:val="000000"/>
          <w:sz w:val="28"/>
          <w:lang w:val="en-US" w:eastAsia="en-US" w:bidi="ar-SA"/>
        </w:rPr>
        <w:t>Opinion</w:t>
      </w:r>
    </w:p>
    <w:p>
      <w:pPr>
        <w:spacing w:line="60" w:lineRule="exact"/>
        <w:rPr>
          <w:lang w:val="en-US" w:eastAsia="en-US" w:bidi="ar-SA"/>
        </w:rPr>
      </w:pPr>
      <w:r>
        <w:pict>
          <v:line id="_x0000_s1027" style="position:absolute;z-index:251659264" from="0,2pt" to="251pt,2pt" strokecolor="#009ddb" strokeweight="2pt">
            <v:stroke linestyle="single"/>
            <w10:wrap type="topAndBottom"/>
          </v:line>
        </w:pict>
      </w:r>
    </w:p>
    <w:p>
      <w:pPr>
        <w:rPr>
          <w:lang w:val="en-US" w:eastAsia="en-US" w:bidi="ar-SA"/>
        </w:rPr>
      </w:pPr>
    </w:p>
    <w:p>
      <w:pPr>
        <w:keepNext w:val="0"/>
        <w:widowControl w:val="0"/>
        <w:spacing w:before="200" w:after="0" w:line="260" w:lineRule="atLeast"/>
        <w:ind w:left="0" w:right="0" w:firstLine="0"/>
        <w:jc w:val="both"/>
        <w:rPr>
          <w:lang w:val="en-US" w:eastAsia="en-US" w:bidi="ar-SA"/>
        </w:rPr>
      </w:pPr>
      <w:bookmarkStart w:id="9" w:name="Bookmark_para_2"/>
      <w:bookmarkEnd w:id="9"/>
      <w:r>
        <w:rPr>
          <w:rFonts w:ascii="arial" w:eastAsia="arial" w:hAnsi="arial" w:cs="arial"/>
          <w:b/>
          <w:color w:val="000000"/>
          <w:sz w:val="20"/>
          <w:lang w:val="en-US" w:eastAsia="en-US" w:bidi="ar-SA"/>
        </w:rPr>
        <w:t>KUGLER</w:t>
      </w:r>
      <w:r>
        <w:rPr>
          <w:rFonts w:ascii="arial" w:eastAsia="arial" w:hAnsi="arial" w:cs="arial"/>
          <w:color w:val="000000"/>
          <w:sz w:val="20"/>
          <w:lang w:val="en-US" w:eastAsia="en-US" w:bidi="ar-SA"/>
        </w:rPr>
        <w:t>, United States District Judge:</w:t>
      </w:r>
    </w:p>
    <w:p>
      <w:pPr>
        <w:keepNext w:val="0"/>
        <w:widowControl w:val="0"/>
        <w:spacing w:before="200" w:after="0" w:line="260" w:lineRule="atLeast"/>
        <w:ind w:left="0" w:right="0" w:firstLine="0"/>
        <w:jc w:val="both"/>
        <w:rPr>
          <w:lang w:val="en-US" w:eastAsia="en-US" w:bidi="ar-SA"/>
        </w:rPr>
      </w:pPr>
      <w:bookmarkStart w:id="10" w:name="Bookmark_para_3"/>
      <w:bookmarkEnd w:id="10"/>
      <w:r>
        <w:rPr>
          <w:rFonts w:ascii="arial" w:eastAsia="arial" w:hAnsi="arial" w:cs="arial"/>
          <w:color w:val="000000"/>
          <w:sz w:val="20"/>
          <w:lang w:val="en-US" w:eastAsia="en-US" w:bidi="ar-SA"/>
        </w:rPr>
        <w:t xml:space="preserve">This matter comes before the Court upon (1) Defendant's Motion to Dismiss (Doc. 6) and (2) Defendant's Motion to Dismiss Amended Complaint (Doc. 15). For the reasons stated herein, the Motion to Dismiss the Amended Complaint (Doc. 15) is </w:t>
      </w:r>
      <w:r>
        <w:rPr>
          <w:rFonts w:ascii="arial" w:eastAsia="arial" w:hAnsi="arial" w:cs="arial"/>
          <w:b/>
          <w:color w:val="000000"/>
          <w:sz w:val="20"/>
          <w:lang w:val="en-US" w:eastAsia="en-US" w:bidi="ar-SA"/>
        </w:rPr>
        <w:t>GRANTED</w:t>
      </w:r>
      <w:r>
        <w:rPr>
          <w:rFonts w:ascii="arial" w:eastAsia="arial" w:hAnsi="arial" w:cs="arial"/>
          <w:color w:val="000000"/>
          <w:sz w:val="20"/>
          <w:lang w:val="en-US" w:eastAsia="en-US" w:bidi="ar-SA"/>
        </w:rPr>
        <w:t xml:space="preserve">, and the Motion to Dismiss (Doc. 6) is </w:t>
      </w:r>
      <w:r>
        <w:rPr>
          <w:rFonts w:ascii="arial" w:eastAsia="arial" w:hAnsi="arial" w:cs="arial"/>
          <w:b/>
          <w:color w:val="000000"/>
          <w:sz w:val="20"/>
          <w:lang w:val="en-US" w:eastAsia="en-US" w:bidi="ar-SA"/>
        </w:rPr>
        <w:t>DENIED AS MOOT</w:t>
      </w:r>
      <w:r>
        <w:rPr>
          <w:rFonts w:ascii="arial" w:eastAsia="arial" w:hAnsi="arial" w:cs="arial"/>
          <w:color w:val="000000"/>
          <w:sz w:val="20"/>
          <w:lang w:val="en-US" w:eastAsia="en-US" w:bidi="ar-SA"/>
        </w:rPr>
        <w:t>.</w:t>
      </w:r>
    </w:p>
    <w:p>
      <w:pPr>
        <w:keepNext w:val="0"/>
        <w:widowControl w:val="0"/>
        <w:spacing w:before="240" w:after="0" w:line="260" w:lineRule="atLeast"/>
        <w:ind w:left="0" w:right="0" w:firstLine="0"/>
        <w:jc w:val="left"/>
        <w:rPr>
          <w:lang w:val="en-US" w:eastAsia="en-US" w:bidi="ar-SA"/>
        </w:rPr>
      </w:pPr>
      <w:r>
        <w:rPr>
          <w:lang w:val="en-US" w:eastAsia="en-US" w:bidi="ar-SA"/>
        </w:rPr>
        <w:br/>
      </w:r>
      <w:r>
        <w:rPr>
          <w:rFonts w:ascii="arial" w:eastAsia="arial" w:hAnsi="arial" w:cs="arial"/>
          <w:b/>
          <w:color w:val="000000"/>
          <w:sz w:val="20"/>
          <w:lang w:val="en-US" w:eastAsia="en-US" w:bidi="ar-SA"/>
        </w:rPr>
        <w:t>I. BACKGROUND</w:t>
      </w:r>
    </w:p>
    <w:p>
      <w:pPr>
        <w:keepNext w:val="0"/>
        <w:widowControl w:val="0"/>
        <w:spacing w:before="200" w:after="0" w:line="260" w:lineRule="atLeast"/>
        <w:ind w:left="0" w:right="0" w:firstLine="0"/>
        <w:jc w:val="both"/>
        <w:rPr>
          <w:lang w:val="en-US" w:eastAsia="en-US" w:bidi="ar-SA"/>
        </w:rPr>
      </w:pPr>
      <w:bookmarkStart w:id="11" w:name="Bookmark_para_4"/>
      <w:bookmarkEnd w:id="11"/>
      <w:r>
        <w:rPr>
          <w:rFonts w:ascii="arial" w:eastAsia="arial" w:hAnsi="arial" w:cs="arial"/>
          <w:color w:val="000000"/>
          <w:sz w:val="20"/>
          <w:lang w:val="en-US" w:eastAsia="en-US" w:bidi="ar-SA"/>
        </w:rPr>
        <w:t>This action arises out of an insurance coverage dispute. Plaintiff is N&amp;S Restaurant LLC, the operator of the Cara Mia restaurant in Millburn, New Jersey. (Doc. 13, "Am. Compl." ¶14.) Plaintiff receives property insurance from Defendant, Cumberland Mutual Fire Insurance Co.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¶16.) During all relevant times, Plaintiff was insured via Defendant's</w:t>
      </w:r>
      <w:r>
        <w:rPr>
          <w:rFonts w:ascii="arial" w:eastAsia="arial" w:hAnsi="arial" w:cs="arial"/>
          <w:b/>
          <w:color w:val="000000"/>
          <w:sz w:val="20"/>
          <w:lang w:val="en-US" w:eastAsia="en-US" w:bidi="ar-SA"/>
        </w:rPr>
        <w:t> [*2] </w:t>
      </w:r>
      <w:r>
        <w:rPr>
          <w:rFonts w:ascii="arial" w:eastAsia="arial" w:hAnsi="arial" w:cs="arial"/>
          <w:color w:val="000000"/>
          <w:sz w:val="20"/>
          <w:lang w:val="en-US" w:eastAsia="en-US" w:bidi="ar-SA"/>
        </w:rPr>
        <w:t xml:space="preserve"> Businessowners Policy (the "Policy"). (Doc. 15-3 "Policy".) On March 16, 2020, Governor Murphy issued Executive Order No. 104, suspending the operation of non-essential retail businesses in response to the ongoing COVID-19 pandemic. (Doc. 15, "Mot." at 4.) Plaintiff thereafter filed a claim with Defendant via the Policy for loss of business income caused by the Executive Order.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w:t>
      </w:r>
    </w:p>
    <w:p>
      <w:pPr>
        <w:keepNext w:val="0"/>
        <w:widowControl w:val="0"/>
        <w:spacing w:before="200" w:after="0" w:line="260" w:lineRule="atLeast"/>
        <w:ind w:left="0" w:right="0" w:firstLine="0"/>
        <w:jc w:val="both"/>
        <w:rPr>
          <w:lang w:val="en-US" w:eastAsia="en-US" w:bidi="ar-SA"/>
        </w:rPr>
      </w:pPr>
      <w:bookmarkStart w:id="12" w:name="Bookmark_para_5"/>
      <w:bookmarkEnd w:id="12"/>
      <w:r>
        <w:rPr>
          <w:rFonts w:ascii="arial" w:eastAsia="arial" w:hAnsi="arial" w:cs="arial"/>
          <w:color w:val="000000"/>
          <w:sz w:val="20"/>
          <w:lang w:val="en-US" w:eastAsia="en-US" w:bidi="ar-SA"/>
        </w:rPr>
        <w:t>At a broad level, Plaintiff's insurance Policy provides coverage for "direct physical loss of or damage to Covered Property at the described premises . . . caused by or result[ing] from any Covered Cause of Loss." (Policy at 1.) "Covered Causes of Loss" include "[d]irect physical loss unless the loss is excluded or limited[.]"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at 2.) Plaintiff requested coverage under three separate Policy provisions: (1) the "Business Income" provision; (2) the "Extra Expense" provision; and (3) the "Civil Authority" provision.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at 5-6.)</w:t>
      </w:r>
    </w:p>
    <w:p>
      <w:pPr>
        <w:keepNext w:val="0"/>
        <w:widowControl w:val="0"/>
        <w:spacing w:before="200" w:after="0" w:line="260" w:lineRule="atLeast"/>
        <w:ind w:left="0" w:right="0" w:firstLine="0"/>
        <w:jc w:val="both"/>
        <w:rPr>
          <w:lang w:val="en-US" w:eastAsia="en-US" w:bidi="ar-SA"/>
        </w:rPr>
      </w:pPr>
      <w:bookmarkStart w:id="13" w:name="Bookmark_para_6"/>
      <w:bookmarkEnd w:id="13"/>
      <w:r>
        <w:rPr>
          <w:rFonts w:ascii="arial" w:eastAsia="arial" w:hAnsi="arial" w:cs="arial"/>
          <w:color w:val="000000"/>
          <w:sz w:val="20"/>
          <w:lang w:val="en-US" w:eastAsia="en-US" w:bidi="ar-SA"/>
        </w:rPr>
        <w:t>The "Business Income" provision provides as follows:</w:t>
      </w:r>
    </w:p>
    <w:p>
      <w:pPr>
        <w:keepNext w:val="0"/>
        <w:widowControl w:val="0"/>
        <w:spacing w:before="200" w:after="0" w:line="260" w:lineRule="atLeast"/>
        <w:ind w:left="400" w:right="0" w:firstLine="0"/>
        <w:jc w:val="both"/>
        <w:rPr>
          <w:lang w:val="en-US" w:eastAsia="en-US" w:bidi="ar-SA"/>
        </w:rPr>
      </w:pPr>
      <w:bookmarkStart w:id="14" w:name="Bookmark_para_7"/>
      <w:bookmarkEnd w:id="14"/>
      <w:r>
        <w:rPr>
          <w:rFonts w:ascii="arial" w:eastAsia="arial" w:hAnsi="arial" w:cs="arial"/>
          <w:color w:val="000000"/>
          <w:sz w:val="20"/>
          <w:lang w:val="en-US" w:eastAsia="en-US" w:bidi="ar-SA"/>
        </w:rPr>
        <w:t>We will pay for the actual loss of Business Income you sustain due to the necessary suspension of your "operations" during the "period of restoration". The suspension must be caused by direct physical loss of or damage to property at the described premises. The loss or damage must</w:t>
      </w:r>
      <w:r>
        <w:rPr>
          <w:rFonts w:ascii="arial" w:eastAsia="arial" w:hAnsi="arial" w:cs="arial"/>
          <w:b/>
          <w:color w:val="000000"/>
          <w:sz w:val="20"/>
          <w:lang w:val="en-US" w:eastAsia="en-US" w:bidi="ar-SA"/>
        </w:rPr>
        <w:t> [*3] </w:t>
      </w:r>
      <w:r>
        <w:rPr>
          <w:rFonts w:ascii="arial" w:eastAsia="arial" w:hAnsi="arial" w:cs="arial"/>
          <w:color w:val="000000"/>
          <w:sz w:val="20"/>
          <w:lang w:val="en-US" w:eastAsia="en-US" w:bidi="ar-SA"/>
        </w:rPr>
        <w:t xml:space="preserve"> be caused by or result from a Covered Cause of Loss. With respect to loss of or damage to personal property in the open or personal property in a vehicle, the described premises include the area within 100 feet of such premises.</w:t>
      </w:r>
    </w:p>
    <w:p>
      <w:pPr>
        <w:keepNext w:val="0"/>
        <w:widowControl w:val="0"/>
        <w:spacing w:before="200" w:after="0" w:line="260" w:lineRule="atLeast"/>
        <w:ind w:left="0" w:right="0" w:firstLine="0"/>
        <w:jc w:val="both"/>
        <w:rPr>
          <w:lang w:val="en-US" w:eastAsia="en-US" w:bidi="ar-SA"/>
        </w:rPr>
      </w:pPr>
      <w:r>
        <w:rPr>
          <w:rFonts w:ascii="arial" w:eastAsia="arial" w:hAnsi="arial" w:cs="arial"/>
          <w:color w:val="000000"/>
          <w:sz w:val="20"/>
          <w:lang w:val="en-US" w:eastAsia="en-US" w:bidi="ar-SA"/>
        </w:rPr>
        <w:t>(</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at 6.)</w:t>
      </w:r>
    </w:p>
    <w:p>
      <w:pPr>
        <w:keepNext w:val="0"/>
        <w:widowControl w:val="0"/>
        <w:spacing w:before="200" w:after="0" w:line="260" w:lineRule="atLeast"/>
        <w:ind w:left="0" w:right="0" w:firstLine="0"/>
        <w:jc w:val="both"/>
        <w:rPr>
          <w:lang w:val="en-US" w:eastAsia="en-US" w:bidi="ar-SA"/>
        </w:rPr>
      </w:pPr>
      <w:bookmarkStart w:id="15" w:name="Bookmark_para_8"/>
      <w:bookmarkEnd w:id="15"/>
      <w:r>
        <w:rPr>
          <w:rFonts w:ascii="arial" w:eastAsia="arial" w:hAnsi="arial" w:cs="arial"/>
          <w:color w:val="000000"/>
          <w:sz w:val="20"/>
          <w:lang w:val="en-US" w:eastAsia="en-US" w:bidi="ar-SA"/>
        </w:rPr>
        <w:t>The "Extra Expense" provision provides as follows:</w:t>
      </w:r>
    </w:p>
    <w:p>
      <w:pPr>
        <w:keepNext w:val="0"/>
        <w:widowControl w:val="0"/>
        <w:spacing w:after="0" w:line="260" w:lineRule="atLeast"/>
        <w:ind w:left="400" w:right="0" w:firstLine="0"/>
        <w:jc w:val="both"/>
        <w:rPr>
          <w:lang w:val="en-US" w:eastAsia="en-US" w:bidi="ar-SA"/>
        </w:rPr>
      </w:pPr>
      <w:bookmarkStart w:id="16" w:name="Bookmark_para_9"/>
      <w:bookmarkEnd w:id="16"/>
      <w:r>
        <w:rPr>
          <w:rFonts w:ascii="arial" w:eastAsia="arial" w:hAnsi="arial" w:cs="arial"/>
          <w:color w:val="000000"/>
          <w:sz w:val="20"/>
          <w:lang w:val="en-US" w:eastAsia="en-US" w:bidi="ar-SA"/>
        </w:rPr>
        <w:t>We will pay necessary Extra Expense you incur during the "period of restoration" that you would not have incurred if there had been no direct physical loss or damage to property at the described premises. The loss or damage must be caused by or result from a Covered Cause of Loss.</w:t>
      </w:r>
    </w:p>
    <w:p>
      <w:pPr>
        <w:keepNext w:val="0"/>
        <w:widowControl w:val="0"/>
        <w:spacing w:before="200" w:after="0" w:line="260" w:lineRule="atLeast"/>
        <w:ind w:left="0" w:right="0" w:firstLine="0"/>
        <w:jc w:val="both"/>
        <w:rPr>
          <w:lang w:val="en-US" w:eastAsia="en-US" w:bidi="ar-SA"/>
        </w:rPr>
      </w:pPr>
      <w:r>
        <w:rPr>
          <w:rFonts w:ascii="arial" w:eastAsia="arial" w:hAnsi="arial" w:cs="arial"/>
          <w:color w:val="000000"/>
          <w:sz w:val="20"/>
          <w:lang w:val="en-US" w:eastAsia="en-US" w:bidi="ar-SA"/>
        </w:rPr>
        <w:t>(</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at 8.)</w:t>
      </w:r>
    </w:p>
    <w:p>
      <w:pPr>
        <w:keepNext w:val="0"/>
        <w:widowControl w:val="0"/>
        <w:spacing w:before="200" w:after="0" w:line="260" w:lineRule="atLeast"/>
        <w:ind w:left="0" w:right="0" w:firstLine="0"/>
        <w:jc w:val="both"/>
        <w:rPr>
          <w:lang w:val="en-US" w:eastAsia="en-US" w:bidi="ar-SA"/>
        </w:rPr>
      </w:pPr>
      <w:bookmarkStart w:id="17" w:name="Bookmark_para_10"/>
      <w:bookmarkEnd w:id="17"/>
      <w:r>
        <w:rPr>
          <w:rFonts w:ascii="arial" w:eastAsia="arial" w:hAnsi="arial" w:cs="arial"/>
          <w:color w:val="000000"/>
          <w:sz w:val="20"/>
          <w:lang w:val="en-US" w:eastAsia="en-US" w:bidi="ar-SA"/>
        </w:rPr>
        <w:t>The "Civil Authority" provision provides as follows:</w:t>
      </w:r>
    </w:p>
    <w:p>
      <w:pPr>
        <w:keepNext w:val="0"/>
        <w:widowControl w:val="0"/>
        <w:spacing w:after="0" w:line="260" w:lineRule="atLeast"/>
        <w:ind w:left="400" w:right="0" w:firstLine="0"/>
        <w:jc w:val="both"/>
        <w:rPr>
          <w:lang w:val="en-US" w:eastAsia="en-US" w:bidi="ar-SA"/>
        </w:rPr>
      </w:pPr>
      <w:bookmarkStart w:id="18" w:name="Bookmark_para_11"/>
      <w:bookmarkEnd w:id="18"/>
      <w:r>
        <w:rPr>
          <w:rFonts w:ascii="arial" w:eastAsia="arial" w:hAnsi="arial" w:cs="arial"/>
          <w:color w:val="000000"/>
          <w:sz w:val="20"/>
          <w:lang w:val="en-US" w:eastAsia="en-US" w:bidi="ar-SA"/>
        </w:rPr>
        <w:t>When a Covered Cause of Loss causes damage to property other than property at the described premises, we will pay for the actual loss of Business Income you sustain and necessary Extra Expense caused by action of civil authority that prohibits access to the described premises</w:t>
      </w:r>
    </w:p>
    <w:p>
      <w:pPr>
        <w:keepNext w:val="0"/>
        <w:widowControl w:val="0"/>
        <w:spacing w:before="200" w:after="0" w:line="260" w:lineRule="atLeast"/>
        <w:ind w:left="0" w:right="0" w:firstLine="0"/>
        <w:jc w:val="both"/>
        <w:rPr>
          <w:lang w:val="en-US" w:eastAsia="en-US" w:bidi="ar-SA"/>
        </w:rPr>
      </w:pPr>
      <w:r>
        <w:rPr>
          <w:rFonts w:ascii="arial" w:eastAsia="arial" w:hAnsi="arial" w:cs="arial"/>
          <w:color w:val="000000"/>
          <w:sz w:val="20"/>
          <w:lang w:val="en-US" w:eastAsia="en-US" w:bidi="ar-SA"/>
        </w:rPr>
        <w:t>(</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at 9.)</w:t>
      </w:r>
    </w:p>
    <w:p>
      <w:pPr>
        <w:keepNext w:val="0"/>
        <w:widowControl w:val="0"/>
        <w:spacing w:before="200" w:after="0" w:line="260" w:lineRule="atLeast"/>
        <w:ind w:left="0" w:right="0" w:firstLine="0"/>
        <w:jc w:val="both"/>
        <w:rPr>
          <w:lang w:val="en-US" w:eastAsia="en-US" w:bidi="ar-SA"/>
        </w:rPr>
      </w:pPr>
      <w:bookmarkStart w:id="19" w:name="Bookmark_para_12"/>
      <w:bookmarkEnd w:id="19"/>
      <w:r>
        <w:rPr>
          <w:rFonts w:ascii="arial" w:eastAsia="arial" w:hAnsi="arial" w:cs="arial"/>
          <w:color w:val="000000"/>
          <w:sz w:val="20"/>
          <w:lang w:val="en-US" w:eastAsia="en-US" w:bidi="ar-SA"/>
        </w:rPr>
        <w:t>The Policy also denies coverage under several enumerated exclusions. Under the Virus Exclusion, Defendant "will not pay for loss or damage caused directly or indirectly by" any "Virus or Bacteria," which is any "virus, bacterium or other microorganism that induces or is capable of inducing physical distress,</w:t>
      </w:r>
      <w:r>
        <w:rPr>
          <w:rFonts w:ascii="arial" w:eastAsia="arial" w:hAnsi="arial" w:cs="arial"/>
          <w:b/>
          <w:color w:val="000000"/>
          <w:sz w:val="20"/>
          <w:lang w:val="en-US" w:eastAsia="en-US" w:bidi="ar-SA"/>
        </w:rPr>
        <w:t> [*4] </w:t>
      </w:r>
      <w:r>
        <w:rPr>
          <w:rFonts w:ascii="arial" w:eastAsia="arial" w:hAnsi="arial" w:cs="arial"/>
          <w:color w:val="000000"/>
          <w:sz w:val="20"/>
          <w:lang w:val="en-US" w:eastAsia="en-US" w:bidi="ar-SA"/>
        </w:rPr>
        <w:t xml:space="preserve"> illness or disease."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at 17, 20.) The Virus Exclusion includes an anti-concurrent causation preamble, which states that "[s]uch loss or damage is excluded regardless of any other cause or event that contributes concurrently or in any sequence to the loss[.]"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at 17.)</w:t>
      </w:r>
    </w:p>
    <w:p>
      <w:pPr>
        <w:keepNext w:val="0"/>
        <w:widowControl w:val="0"/>
        <w:spacing w:before="200" w:after="0" w:line="260" w:lineRule="atLeast"/>
        <w:ind w:left="0" w:right="0" w:firstLine="0"/>
        <w:jc w:val="both"/>
        <w:rPr>
          <w:lang w:val="en-US" w:eastAsia="en-US" w:bidi="ar-SA"/>
        </w:rPr>
      </w:pPr>
      <w:bookmarkStart w:id="20" w:name="Bookmark_para_13"/>
      <w:bookmarkEnd w:id="20"/>
      <w:r>
        <w:rPr>
          <w:rFonts w:ascii="arial" w:eastAsia="arial" w:hAnsi="arial" w:cs="arial"/>
          <w:color w:val="000000"/>
          <w:sz w:val="20"/>
          <w:lang w:val="en-US" w:eastAsia="en-US" w:bidi="ar-SA"/>
        </w:rPr>
        <w:t>Defendant denied Plaintiff's request for coverage, citing two primary reasons: (1) the claim was barred by the Virus Exclusion, and (2) the claim did not arise out of physical loss or damage as required by each of the applicable provisions. (Mot. at 4.) Plaintiff thereafter filed this suit, seeking a declaratory judgment that Defendant is required to provide coverage under the Business Income, Civil Authority, and Extra Expenses provisions of the Policy. Plaintiff additionally pled a cause of action for breach of contract for failure to provide coverage under each of these provisions. (Am. Compl. ¶¶60-106.) Plaintiff brings this as a purported class action on behalf of it and all others similarly situated. Defendant filed a Motion to Dismiss (Doc. 6), and Plaintiff subsequently amended its Complaint (Doc. 13). Defendant then filed a Motion to Dismiss the Amended Complaint. (Doc. 15.)</w:t>
      </w:r>
    </w:p>
    <w:p>
      <w:pPr>
        <w:keepNext w:val="0"/>
        <w:widowControl w:val="0"/>
        <w:spacing w:before="240" w:after="0" w:line="260" w:lineRule="atLeast"/>
        <w:ind w:left="0" w:right="0" w:firstLine="0"/>
        <w:jc w:val="left"/>
        <w:rPr>
          <w:lang w:val="en-US" w:eastAsia="en-US" w:bidi="ar-SA"/>
        </w:rPr>
      </w:pPr>
      <w:r>
        <w:rPr>
          <w:lang w:val="en-US" w:eastAsia="en-US" w:bidi="ar-SA"/>
        </w:rPr>
        <w:br/>
      </w:r>
      <w:r>
        <w:rPr>
          <w:rFonts w:ascii="arial" w:eastAsia="arial" w:hAnsi="arial" w:cs="arial"/>
          <w:b/>
          <w:color w:val="000000"/>
          <w:sz w:val="20"/>
          <w:lang w:val="en-US" w:eastAsia="en-US" w:bidi="ar-SA"/>
        </w:rPr>
        <w:t>II. LEGAL STANDARD</w:t>
      </w:r>
      <w:r>
        <w:rPr>
          <w:lang w:val="en-US" w:eastAsia="en-US" w:bidi="ar-SA"/>
        </w:rPr>
        <w:br/>
      </w:r>
      <w:r>
        <w:rPr>
          <w:lang w:val="en-US" w:eastAsia="en-US" w:bidi="ar-SA"/>
        </w:rPr>
        <w:br/>
      </w:r>
    </w:p>
    <w:p>
      <w:pPr>
        <w:keepNext w:val="0"/>
        <w:widowControl w:val="0"/>
        <w:spacing w:before="240" w:after="0" w:line="260" w:lineRule="atLeast"/>
        <w:ind w:left="0" w:right="0" w:firstLine="0"/>
        <w:jc w:val="left"/>
        <w:rPr>
          <w:lang w:val="en-US" w:eastAsia="en-US" w:bidi="ar-SA"/>
        </w:rPr>
      </w:pPr>
      <w:r>
        <w:rPr>
          <w:rFonts w:ascii="arial" w:eastAsia="arial" w:hAnsi="arial" w:cs="arial"/>
          <w:b/>
          <w:color w:val="000000"/>
          <w:sz w:val="20"/>
          <w:lang w:val="en-US" w:eastAsia="en-US" w:bidi="ar-SA"/>
        </w:rPr>
        <w:t>A. Standard on Motion to Dismiss</w:t>
      </w:r>
    </w:p>
    <w:p>
      <w:pPr>
        <w:keepNext w:val="0"/>
        <w:widowControl w:val="0"/>
        <w:spacing w:before="240" w:after="0" w:line="260" w:lineRule="atLeast"/>
        <w:ind w:left="0" w:right="0" w:firstLine="0"/>
        <w:jc w:val="both"/>
        <w:rPr>
          <w:lang w:val="en-US" w:eastAsia="en-US" w:bidi="ar-SA"/>
        </w:rPr>
      </w:pPr>
      <w:bookmarkStart w:id="21" w:name="Bookmark_para_14"/>
      <w:bookmarkEnd w:id="21"/>
      <w:r>
        <w:rPr>
          <w:rFonts w:ascii="arial" w:eastAsia="arial" w:hAnsi="arial" w:cs="arial"/>
          <w:b/>
          <w:color w:val="000000"/>
          <w:sz w:val="20"/>
          <w:lang w:val="en-US" w:eastAsia="en-US" w:bidi="ar-SA"/>
        </w:rPr>
        <w:t> [*5] </w:t>
      </w:r>
      <w:r>
        <w:rPr>
          <w:rFonts w:ascii="arial" w:eastAsia="arial" w:hAnsi="arial" w:cs="arial"/>
          <w:color w:val="000000"/>
          <w:sz w:val="20"/>
          <w:lang w:val="en-US" w:eastAsia="en-US" w:bidi="ar-SA"/>
        </w:rPr>
        <w:t xml:space="preserve">When deciding a motion to dismiss a claim pursuant to </w:t>
      </w:r>
      <w:hyperlink r:id="rId19" w:history="1">
        <w:r>
          <w:rPr>
            <w:rFonts w:ascii="arial" w:eastAsia="arial" w:hAnsi="arial" w:cs="arial"/>
            <w:i/>
            <w:color w:val="0077CC"/>
            <w:sz w:val="20"/>
            <w:u w:val="single"/>
            <w:shd w:val="clear" w:color="auto" w:fill="FFFFFF"/>
            <w:lang w:val="en-US" w:eastAsia="en-US" w:bidi="ar-SA"/>
          </w:rPr>
          <w:t>Federal Rule of Civil Procedure 12(b)(6)</w:t>
        </w:r>
      </w:hyperlink>
      <w:r>
        <w:rPr>
          <w:rFonts w:ascii="arial" w:eastAsia="arial" w:hAnsi="arial" w:cs="arial"/>
          <w:color w:val="000000"/>
          <w:sz w:val="20"/>
          <w:lang w:val="en-US" w:eastAsia="en-US" w:bidi="ar-SA"/>
        </w:rPr>
        <w:t xml:space="preserve">, the court limits its review to the face of the complaint. </w:t>
      </w:r>
      <w:hyperlink r:id="rId20" w:history="1">
        <w:r>
          <w:rPr>
            <w:rFonts w:ascii="arial" w:eastAsia="arial" w:hAnsi="arial" w:cs="arial"/>
            <w:i/>
            <w:color w:val="0077CC"/>
            <w:sz w:val="20"/>
            <w:u w:val="single"/>
            <w:shd w:val="clear" w:color="auto" w:fill="FFFFFF"/>
            <w:lang w:val="en-US" w:eastAsia="en-US" w:bidi="ar-SA"/>
          </w:rPr>
          <w:t>Barefoot Architect, Inc. v. Bunge</w:t>
        </w:r>
      </w:hyperlink>
      <w:hyperlink r:id="rId20" w:history="1">
        <w:r>
          <w:rPr>
            <w:rFonts w:ascii="arial" w:eastAsia="arial" w:hAnsi="arial" w:cs="arial"/>
            <w:i/>
            <w:color w:val="0077CC"/>
            <w:sz w:val="20"/>
            <w:u w:val="single"/>
            <w:shd w:val="clear" w:color="auto" w:fill="FFFFFF"/>
            <w:lang w:val="en-US" w:eastAsia="en-US" w:bidi="ar-SA"/>
          </w:rPr>
          <w:t>, 632 F.3d 822, 835, 54 V.I. 948 (3d Cir. 2011)</w:t>
        </w:r>
      </w:hyperlink>
      <w:r>
        <w:rPr>
          <w:rFonts w:ascii="arial" w:eastAsia="arial" w:hAnsi="arial" w:cs="arial"/>
          <w:color w:val="000000"/>
          <w:sz w:val="20"/>
          <w:lang w:val="en-US" w:eastAsia="en-US" w:bidi="ar-SA"/>
        </w:rPr>
        <w:t xml:space="preserve">. The court must accept as true all well-pleaded factual allegations and must construe them in the light most favorable to the nonmoving party. </w:t>
      </w:r>
      <w:hyperlink r:id="rId21" w:history="1">
        <w:r>
          <w:rPr>
            <w:rFonts w:ascii="arial" w:eastAsia="arial" w:hAnsi="arial" w:cs="arial"/>
            <w:i/>
            <w:color w:val="0077CC"/>
            <w:sz w:val="20"/>
            <w:u w:val="single"/>
            <w:shd w:val="clear" w:color="auto" w:fill="FFFFFF"/>
            <w:lang w:val="en-US" w:eastAsia="en-US" w:bidi="ar-SA"/>
          </w:rPr>
          <w:t>Phillips v. Cty. of Allegheny</w:t>
        </w:r>
      </w:hyperlink>
      <w:hyperlink r:id="rId21" w:history="1">
        <w:r>
          <w:rPr>
            <w:rFonts w:ascii="arial" w:eastAsia="arial" w:hAnsi="arial" w:cs="arial"/>
            <w:i/>
            <w:color w:val="0077CC"/>
            <w:sz w:val="20"/>
            <w:u w:val="single"/>
            <w:shd w:val="clear" w:color="auto" w:fill="FFFFFF"/>
            <w:lang w:val="en-US" w:eastAsia="en-US" w:bidi="ar-SA"/>
          </w:rPr>
          <w:t>, 515 F.3d 224, 228 (3d Cir. 2008)</w:t>
        </w:r>
      </w:hyperlink>
      <w:r>
        <w:rPr>
          <w:rFonts w:ascii="arial" w:eastAsia="arial" w:hAnsi="arial" w:cs="arial"/>
          <w:color w:val="000000"/>
          <w:sz w:val="20"/>
          <w:lang w:val="en-US" w:eastAsia="en-US" w:bidi="ar-SA"/>
        </w:rPr>
        <w:t xml:space="preserve">. In other words, a complaint is sufficient if it contains enough factual matter, accepted as true, to "state a claim to relief that is plausible on its face." </w:t>
      </w:r>
      <w:hyperlink r:id="rId22" w:history="1">
        <w:r>
          <w:rPr>
            <w:rFonts w:ascii="arial" w:eastAsia="arial" w:hAnsi="arial" w:cs="arial"/>
            <w:i/>
            <w:color w:val="0077CC"/>
            <w:sz w:val="20"/>
            <w:u w:val="single"/>
            <w:shd w:val="clear" w:color="auto" w:fill="FFFFFF"/>
            <w:lang w:val="en-US" w:eastAsia="en-US" w:bidi="ar-SA"/>
          </w:rPr>
          <w:t>Ashcroft v. Iqbal</w:t>
        </w:r>
      </w:hyperlink>
      <w:hyperlink r:id="rId22" w:history="1">
        <w:r>
          <w:rPr>
            <w:rFonts w:ascii="arial" w:eastAsia="arial" w:hAnsi="arial" w:cs="arial"/>
            <w:i/>
            <w:color w:val="0077CC"/>
            <w:sz w:val="20"/>
            <w:u w:val="single"/>
            <w:shd w:val="clear" w:color="auto" w:fill="FFFFFF"/>
            <w:lang w:val="en-US" w:eastAsia="en-US" w:bidi="ar-SA"/>
          </w:rPr>
          <w:t>, 556 U.S. 662, 678, 129 S. Ct. 1937, 173 L. Ed. 2d 868 (2009)</w:t>
        </w:r>
      </w:hyperlink>
      <w:r>
        <w:rPr>
          <w:rFonts w:ascii="arial" w:eastAsia="arial" w:hAnsi="arial" w:cs="arial"/>
          <w:color w:val="000000"/>
          <w:sz w:val="20"/>
          <w:lang w:val="en-US" w:eastAsia="en-US" w:bidi="ar-SA"/>
        </w:rPr>
        <w:t xml:space="preserve">; </w:t>
      </w:r>
      <w:hyperlink r:id="rId23" w:history="1">
        <w:r>
          <w:rPr>
            <w:rFonts w:ascii="arial" w:eastAsia="arial" w:hAnsi="arial" w:cs="arial"/>
            <w:i/>
            <w:color w:val="0077CC"/>
            <w:sz w:val="20"/>
            <w:u w:val="single"/>
            <w:shd w:val="clear" w:color="auto" w:fill="FFFFFF"/>
            <w:lang w:val="en-US" w:eastAsia="en-US" w:bidi="ar-SA"/>
          </w:rPr>
          <w:t>Bell Atlantic Corp. v. Twombly</w:t>
        </w:r>
      </w:hyperlink>
      <w:hyperlink r:id="rId23" w:history="1">
        <w:r>
          <w:rPr>
            <w:rFonts w:ascii="arial" w:eastAsia="arial" w:hAnsi="arial" w:cs="arial"/>
            <w:i/>
            <w:color w:val="0077CC"/>
            <w:sz w:val="20"/>
            <w:u w:val="single"/>
            <w:shd w:val="clear" w:color="auto" w:fill="FFFFFF"/>
            <w:lang w:val="en-US" w:eastAsia="en-US" w:bidi="ar-SA"/>
          </w:rPr>
          <w:t>, 550 U.S. 544, 570, 127 S. Ct. 1955, 167 L. Ed. 2d 929 (2007)</w:t>
        </w:r>
      </w:hyperlink>
      <w:r>
        <w:rPr>
          <w:rFonts w:ascii="arial" w:eastAsia="arial" w:hAnsi="arial" w:cs="arial"/>
          <w:color w:val="000000"/>
          <w:sz w:val="20"/>
          <w:lang w:val="en-US" w:eastAsia="en-US" w:bidi="ar-SA"/>
        </w:rPr>
        <w:t xml:space="preserve">. "The inquiry is not whether plaintiff will ultimately prevail in a trial on the merits, but whether [he or she] should be afforded an opportunity to offer evidence in support of [his or her] claims." </w:t>
      </w:r>
      <w:hyperlink r:id="rId24" w:history="1">
        <w:r>
          <w:rPr>
            <w:rFonts w:ascii="arial" w:eastAsia="arial" w:hAnsi="arial" w:cs="arial"/>
            <w:i/>
            <w:color w:val="0077CC"/>
            <w:sz w:val="20"/>
            <w:u w:val="single"/>
            <w:shd w:val="clear" w:color="auto" w:fill="FFFFFF"/>
            <w:lang w:val="en-US" w:eastAsia="en-US" w:bidi="ar-SA"/>
          </w:rPr>
          <w:t>In re Rockefeller Ctr. Props. Secs. Litig.</w:t>
        </w:r>
      </w:hyperlink>
      <w:hyperlink r:id="rId24" w:history="1">
        <w:r>
          <w:rPr>
            <w:rFonts w:ascii="arial" w:eastAsia="arial" w:hAnsi="arial" w:cs="arial"/>
            <w:i/>
            <w:color w:val="0077CC"/>
            <w:sz w:val="20"/>
            <w:u w:val="single"/>
            <w:shd w:val="clear" w:color="auto" w:fill="FFFFFF"/>
            <w:lang w:val="en-US" w:eastAsia="en-US" w:bidi="ar-SA"/>
          </w:rPr>
          <w:t>, 311 F.3d 198, 215 (3d Cir. 2002)</w:t>
        </w:r>
      </w:hyperlink>
      <w:r>
        <w:rPr>
          <w:rFonts w:ascii="arial" w:eastAsia="arial" w:hAnsi="arial" w:cs="arial"/>
          <w:color w:val="000000"/>
          <w:sz w:val="20"/>
          <w:lang w:val="en-US" w:eastAsia="en-US" w:bidi="ar-SA"/>
        </w:rPr>
        <w:t xml:space="preserve">. However, legal conclusions and "[t]hreadbare recitals of the elements of a cause of action, supported by mere conclusory statements, do not suffice." </w:t>
      </w:r>
      <w:hyperlink r:id="rId22" w:history="1">
        <w:r>
          <w:rPr>
            <w:rFonts w:ascii="arial" w:eastAsia="arial" w:hAnsi="arial" w:cs="arial"/>
            <w:i/>
            <w:color w:val="0077CC"/>
            <w:sz w:val="20"/>
            <w:u w:val="single"/>
            <w:shd w:val="clear" w:color="auto" w:fill="FFFFFF"/>
            <w:lang w:val="en-US" w:eastAsia="en-US" w:bidi="ar-SA"/>
          </w:rPr>
          <w:t>Iqbal</w:t>
        </w:r>
      </w:hyperlink>
      <w:hyperlink r:id="rId22" w:history="1">
        <w:r>
          <w:rPr>
            <w:rFonts w:ascii="arial" w:eastAsia="arial" w:hAnsi="arial" w:cs="arial"/>
            <w:i/>
            <w:color w:val="0077CC"/>
            <w:sz w:val="20"/>
            <w:u w:val="single"/>
            <w:shd w:val="clear" w:color="auto" w:fill="FFFFFF"/>
            <w:lang w:val="en-US" w:eastAsia="en-US" w:bidi="ar-SA"/>
          </w:rPr>
          <w:t>, 556 U.S. at 678</w:t>
        </w:r>
      </w:hyperlink>
      <w:r>
        <w:rPr>
          <w:rFonts w:ascii="arial" w:eastAsia="arial" w:hAnsi="arial" w:cs="arial"/>
          <w:color w:val="000000"/>
          <w:sz w:val="20"/>
          <w:lang w:val="en-US" w:eastAsia="en-US" w:bidi="ar-SA"/>
        </w:rPr>
        <w:t>.</w:t>
      </w:r>
    </w:p>
    <w:p>
      <w:pPr>
        <w:keepNext w:val="0"/>
        <w:widowControl w:val="0"/>
        <w:spacing w:before="240" w:after="0" w:line="260" w:lineRule="atLeast"/>
        <w:ind w:left="0" w:right="0" w:firstLine="0"/>
        <w:jc w:val="both"/>
        <w:rPr>
          <w:lang w:val="en-US" w:eastAsia="en-US" w:bidi="ar-SA"/>
        </w:rPr>
      </w:pPr>
      <w:bookmarkStart w:id="22" w:name="Bookmark_para_15"/>
      <w:bookmarkEnd w:id="22"/>
      <w:r>
        <w:rPr>
          <w:rFonts w:ascii="arial" w:eastAsia="arial" w:hAnsi="arial" w:cs="arial"/>
          <w:color w:val="000000"/>
          <w:sz w:val="20"/>
          <w:lang w:val="en-US" w:eastAsia="en-US" w:bidi="ar-SA"/>
        </w:rPr>
        <w:t xml:space="preserve">To determine whether a complaint is plausible on its face, courts conduct a three-part analysis. </w:t>
      </w:r>
      <w:hyperlink r:id="rId25" w:history="1">
        <w:r>
          <w:rPr>
            <w:rFonts w:ascii="arial" w:eastAsia="arial" w:hAnsi="arial" w:cs="arial"/>
            <w:i/>
            <w:color w:val="0077CC"/>
            <w:sz w:val="20"/>
            <w:u w:val="single"/>
            <w:shd w:val="clear" w:color="auto" w:fill="FFFFFF"/>
            <w:lang w:val="en-US" w:eastAsia="en-US" w:bidi="ar-SA"/>
          </w:rPr>
          <w:t>Santiago v. Warminster Twp.</w:t>
        </w:r>
      </w:hyperlink>
      <w:hyperlink r:id="rId25" w:history="1">
        <w:r>
          <w:rPr>
            <w:rFonts w:ascii="arial" w:eastAsia="arial" w:hAnsi="arial" w:cs="arial"/>
            <w:i/>
            <w:color w:val="0077CC"/>
            <w:sz w:val="20"/>
            <w:u w:val="single"/>
            <w:shd w:val="clear" w:color="auto" w:fill="FFFFFF"/>
            <w:lang w:val="en-US" w:eastAsia="en-US" w:bidi="ar-SA"/>
          </w:rPr>
          <w:t>, 629 F.3d 121, 130 (3d Cir. 2010)</w:t>
        </w:r>
      </w:hyperlink>
      <w:r>
        <w:rPr>
          <w:rFonts w:ascii="arial" w:eastAsia="arial" w:hAnsi="arial" w:cs="arial"/>
          <w:color w:val="000000"/>
          <w:sz w:val="20"/>
          <w:lang w:val="en-US" w:eastAsia="en-US" w:bidi="ar-SA"/>
        </w:rPr>
        <w:t xml:space="preserve">. First, the court must "tak[e] note of the elements a plaintiff must plead to state a claim."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(quoting </w:t>
      </w:r>
      <w:hyperlink r:id="rId22" w:history="1">
        <w:r>
          <w:rPr>
            <w:rFonts w:ascii="arial" w:eastAsia="arial" w:hAnsi="arial" w:cs="arial"/>
            <w:i/>
            <w:color w:val="0077CC"/>
            <w:sz w:val="20"/>
            <w:u w:val="single"/>
            <w:shd w:val="clear" w:color="auto" w:fill="FFFFFF"/>
            <w:lang w:val="en-US" w:eastAsia="en-US" w:bidi="ar-SA"/>
          </w:rPr>
          <w:t>Iqbal</w:t>
        </w:r>
      </w:hyperlink>
      <w:hyperlink r:id="rId22" w:history="1">
        <w:r>
          <w:rPr>
            <w:rFonts w:ascii="arial" w:eastAsia="arial" w:hAnsi="arial" w:cs="arial"/>
            <w:i/>
            <w:color w:val="0077CC"/>
            <w:sz w:val="20"/>
            <w:u w:val="single"/>
            <w:shd w:val="clear" w:color="auto" w:fill="FFFFFF"/>
            <w:lang w:val="en-US" w:eastAsia="en-US" w:bidi="ar-SA"/>
          </w:rPr>
          <w:t>, 556 U.S. at 675</w:t>
        </w:r>
      </w:hyperlink>
      <w:r>
        <w:rPr>
          <w:rFonts w:ascii="arial" w:eastAsia="arial" w:hAnsi="arial" w:cs="arial"/>
          <w:color w:val="000000"/>
          <w:sz w:val="20"/>
          <w:lang w:val="en-US" w:eastAsia="en-US" w:bidi="ar-SA"/>
        </w:rPr>
        <w:t xml:space="preserve">). Second, the court should identify allegations that, "because they are no more than conclusions, are not entitled to the assumption of truth." </w:t>
      </w:r>
      <w:hyperlink r:id="rId25" w:history="1">
        <w:r>
          <w:rPr>
            <w:rFonts w:ascii="arial" w:eastAsia="arial" w:hAnsi="arial" w:cs="arial"/>
            <w:i/>
            <w:color w:val="0077CC"/>
            <w:sz w:val="20"/>
            <w:u w:val="single"/>
            <w:shd w:val="clear" w:color="auto" w:fill="FFFFFF"/>
            <w:lang w:val="en-US" w:eastAsia="en-US" w:bidi="ar-SA"/>
          </w:rPr>
          <w:t>Id.</w:t>
        </w:r>
      </w:hyperlink>
      <w:hyperlink r:id="rId25" w:history="1">
        <w:r>
          <w:rPr>
            <w:rFonts w:ascii="arial" w:eastAsia="arial" w:hAnsi="arial" w:cs="arial"/>
            <w:i/>
            <w:color w:val="0077CC"/>
            <w:sz w:val="20"/>
            <w:u w:val="single"/>
            <w:shd w:val="clear" w:color="auto" w:fill="FFFFFF"/>
            <w:lang w:val="en-US" w:eastAsia="en-US" w:bidi="ar-SA"/>
          </w:rPr>
          <w:t xml:space="preserve"> at 131</w:t>
        </w:r>
      </w:hyperlink>
      <w:r>
        <w:rPr>
          <w:rFonts w:ascii="arial" w:eastAsia="arial" w:hAnsi="arial" w:cs="arial"/>
          <w:color w:val="000000"/>
          <w:sz w:val="20"/>
          <w:lang w:val="en-US" w:eastAsia="en-US" w:bidi="ar-SA"/>
        </w:rPr>
        <w:t xml:space="preserve"> (quoting </w:t>
      </w:r>
      <w:hyperlink r:id="rId22" w:history="1">
        <w:r>
          <w:rPr>
            <w:rFonts w:ascii="arial" w:eastAsia="arial" w:hAnsi="arial" w:cs="arial"/>
            <w:i/>
            <w:color w:val="0077CC"/>
            <w:sz w:val="20"/>
            <w:u w:val="single"/>
            <w:shd w:val="clear" w:color="auto" w:fill="FFFFFF"/>
            <w:lang w:val="en-US" w:eastAsia="en-US" w:bidi="ar-SA"/>
          </w:rPr>
          <w:t>Iqbal</w:t>
        </w:r>
      </w:hyperlink>
      <w:hyperlink r:id="rId22" w:history="1">
        <w:r>
          <w:rPr>
            <w:rFonts w:ascii="arial" w:eastAsia="arial" w:hAnsi="arial" w:cs="arial"/>
            <w:i/>
            <w:color w:val="0077CC"/>
            <w:sz w:val="20"/>
            <w:u w:val="single"/>
            <w:shd w:val="clear" w:color="auto" w:fill="FFFFFF"/>
            <w:lang w:val="en-US" w:eastAsia="en-US" w:bidi="ar-SA"/>
          </w:rPr>
          <w:t>, 556 U.S. at 680</w:t>
        </w:r>
      </w:hyperlink>
      <w:r>
        <w:rPr>
          <w:rFonts w:ascii="arial" w:eastAsia="arial" w:hAnsi="arial" w:cs="arial"/>
          <w:color w:val="000000"/>
          <w:sz w:val="20"/>
          <w:lang w:val="en-US" w:eastAsia="en-US" w:bidi="ar-SA"/>
        </w:rPr>
        <w:t xml:space="preserve">). Finally, "where there are well-pleaded factual allegations, a court should assume their veracity and then determine whether they plausibly give rise to an entitlement for relief."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(quoting </w:t>
      </w:r>
      <w:hyperlink r:id="rId22" w:history="1">
        <w:r>
          <w:rPr>
            <w:rFonts w:ascii="arial" w:eastAsia="arial" w:hAnsi="arial" w:cs="arial"/>
            <w:i/>
            <w:color w:val="0077CC"/>
            <w:sz w:val="20"/>
            <w:u w:val="single"/>
            <w:shd w:val="clear" w:color="auto" w:fill="FFFFFF"/>
            <w:lang w:val="en-US" w:eastAsia="en-US" w:bidi="ar-SA"/>
          </w:rPr>
          <w:t>Iqbal</w:t>
        </w:r>
      </w:hyperlink>
      <w:hyperlink r:id="rId22" w:history="1">
        <w:r>
          <w:rPr>
            <w:rFonts w:ascii="arial" w:eastAsia="arial" w:hAnsi="arial" w:cs="arial"/>
            <w:i/>
            <w:color w:val="0077CC"/>
            <w:sz w:val="20"/>
            <w:u w:val="single"/>
            <w:shd w:val="clear" w:color="auto" w:fill="FFFFFF"/>
            <w:lang w:val="en-US" w:eastAsia="en-US" w:bidi="ar-SA"/>
          </w:rPr>
          <w:t>, 556 U.S. at 680</w:t>
        </w:r>
      </w:hyperlink>
      <w:r>
        <w:rPr>
          <w:rFonts w:ascii="arial" w:eastAsia="arial" w:hAnsi="arial" w:cs="arial"/>
          <w:color w:val="000000"/>
          <w:sz w:val="20"/>
          <w:lang w:val="en-US" w:eastAsia="en-US" w:bidi="ar-SA"/>
        </w:rPr>
        <w:t xml:space="preserve">). This plausibility determination is a "context-specific task that requires the reviewing court to draw on its judicial experience and common sense." </w:t>
      </w:r>
      <w:hyperlink r:id="rId22" w:history="1">
        <w:r>
          <w:rPr>
            <w:rFonts w:ascii="arial" w:eastAsia="arial" w:hAnsi="arial" w:cs="arial"/>
            <w:i/>
            <w:color w:val="0077CC"/>
            <w:sz w:val="20"/>
            <w:u w:val="single"/>
            <w:shd w:val="clear" w:color="auto" w:fill="FFFFFF"/>
            <w:lang w:val="en-US" w:eastAsia="en-US" w:bidi="ar-SA"/>
          </w:rPr>
          <w:t>Iqbal</w:t>
        </w:r>
      </w:hyperlink>
      <w:hyperlink r:id="rId22" w:history="1">
        <w:r>
          <w:rPr>
            <w:rFonts w:ascii="arial" w:eastAsia="arial" w:hAnsi="arial" w:cs="arial"/>
            <w:i/>
            <w:color w:val="0077CC"/>
            <w:sz w:val="20"/>
            <w:u w:val="single"/>
            <w:shd w:val="clear" w:color="auto" w:fill="FFFFFF"/>
            <w:lang w:val="en-US" w:eastAsia="en-US" w:bidi="ar-SA"/>
          </w:rPr>
          <w:t>, 556 U.S. at 679</w:t>
        </w:r>
      </w:hyperlink>
      <w:r>
        <w:rPr>
          <w:rFonts w:ascii="arial" w:eastAsia="arial" w:hAnsi="arial" w:cs="arial"/>
          <w:color w:val="000000"/>
          <w:sz w:val="20"/>
          <w:lang w:val="en-US" w:eastAsia="en-US" w:bidi="ar-SA"/>
        </w:rPr>
        <w:t xml:space="preserve">. A complaint cannot survive where a court can infer only that a claim is merely possible rather than plausible.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In deciding a motion to dismiss, the court may rely on "the complaint, attached exhibits, and matters of public record" without converting the motion to one of summary judgment. </w:t>
      </w:r>
      <w:hyperlink r:id="rId26" w:history="1">
        <w:r>
          <w:rPr>
            <w:rFonts w:ascii="arial" w:eastAsia="arial" w:hAnsi="arial" w:cs="arial"/>
            <w:i/>
            <w:color w:val="0077CC"/>
            <w:sz w:val="20"/>
            <w:u w:val="single"/>
            <w:shd w:val="clear" w:color="auto" w:fill="FFFFFF"/>
            <w:lang w:val="en-US" w:eastAsia="en-US" w:bidi="ar-SA"/>
          </w:rPr>
          <w:t>Sands v. McCormick</w:t>
        </w:r>
      </w:hyperlink>
      <w:hyperlink r:id="rId26" w:history="1">
        <w:r>
          <w:rPr>
            <w:rFonts w:ascii="arial" w:eastAsia="arial" w:hAnsi="arial" w:cs="arial"/>
            <w:i/>
            <w:color w:val="0077CC"/>
            <w:sz w:val="20"/>
            <w:u w:val="single"/>
            <w:shd w:val="clear" w:color="auto" w:fill="FFFFFF"/>
            <w:lang w:val="en-US" w:eastAsia="en-US" w:bidi="ar-SA"/>
          </w:rPr>
          <w:t>, 502 F.3d 263, 268 (3d Cir. 2007)</w:t>
        </w:r>
      </w:hyperlink>
      <w:r>
        <w:rPr>
          <w:rFonts w:ascii="arial" w:eastAsia="arial" w:hAnsi="arial" w:cs="arial"/>
          <w:color w:val="000000"/>
          <w:sz w:val="20"/>
          <w:lang w:val="en-US" w:eastAsia="en-US" w:bidi="ar-SA"/>
        </w:rPr>
        <w:t>.</w:t>
      </w:r>
    </w:p>
    <w:p>
      <w:pPr>
        <w:keepNext w:val="0"/>
        <w:widowControl w:val="0"/>
        <w:spacing w:before="240" w:after="0" w:line="260" w:lineRule="atLeast"/>
        <w:ind w:left="0" w:right="0" w:firstLine="0"/>
        <w:jc w:val="left"/>
        <w:rPr>
          <w:lang w:val="en-US" w:eastAsia="en-US" w:bidi="ar-SA"/>
        </w:rPr>
      </w:pPr>
      <w:r>
        <w:rPr>
          <w:lang w:val="en-US" w:eastAsia="en-US" w:bidi="ar-SA"/>
        </w:rPr>
        <w:br/>
      </w:r>
      <w:r>
        <w:rPr>
          <w:rFonts w:ascii="arial" w:eastAsia="arial" w:hAnsi="arial" w:cs="arial"/>
          <w:b/>
          <w:color w:val="000000"/>
          <w:sz w:val="20"/>
          <w:lang w:val="en-US" w:eastAsia="en-US" w:bidi="ar-SA"/>
        </w:rPr>
        <w:t>B. New Jersey Law on Insurance Policy Interpretation</w:t>
      </w:r>
    </w:p>
    <w:p>
      <w:pPr>
        <w:keepNext w:val="0"/>
        <w:widowControl w:val="0"/>
        <w:spacing w:before="200" w:after="0" w:line="260" w:lineRule="atLeast"/>
        <w:ind w:left="0" w:right="0" w:firstLine="0"/>
        <w:jc w:val="both"/>
        <w:rPr>
          <w:lang w:val="en-US" w:eastAsia="en-US" w:bidi="ar-SA"/>
        </w:rPr>
      </w:pPr>
      <w:bookmarkStart w:id="23" w:name="Bookmark_para_16"/>
      <w:bookmarkEnd w:id="23"/>
      <w:r>
        <w:rPr>
          <w:rFonts w:ascii="arial" w:eastAsia="arial" w:hAnsi="arial" w:cs="arial"/>
          <w:color w:val="000000"/>
          <w:sz w:val="20"/>
          <w:lang w:val="en-US" w:eastAsia="en-US" w:bidi="ar-SA"/>
        </w:rPr>
        <w:t>A court exercising diversity jurisdiction over an insurance dispute must apply state substantive</w:t>
      </w:r>
      <w:r>
        <w:rPr>
          <w:rFonts w:ascii="arial" w:eastAsia="arial" w:hAnsi="arial" w:cs="arial"/>
          <w:b/>
          <w:color w:val="000000"/>
          <w:sz w:val="20"/>
          <w:lang w:val="en-US" w:eastAsia="en-US" w:bidi="ar-SA"/>
        </w:rPr>
        <w:t> [*6] </w:t>
      </w:r>
      <w:r>
        <w:rPr>
          <w:rFonts w:ascii="arial" w:eastAsia="arial" w:hAnsi="arial" w:cs="arial"/>
          <w:color w:val="000000"/>
          <w:sz w:val="20"/>
          <w:lang w:val="en-US" w:eastAsia="en-US" w:bidi="ar-SA"/>
        </w:rPr>
        <w:t xml:space="preserve"> law. </w:t>
      </w:r>
      <w:r>
        <w:rPr>
          <w:rFonts w:ascii="arial" w:eastAsia="arial" w:hAnsi="arial" w:cs="arial"/>
          <w:i/>
          <w:color w:val="000000"/>
          <w:sz w:val="20"/>
          <w:lang w:val="en-US" w:eastAsia="en-US" w:bidi="ar-SA"/>
        </w:rPr>
        <w:t xml:space="preserve">See </w:t>
      </w:r>
      <w:hyperlink r:id="rId27" w:history="1">
        <w:r>
          <w:rPr>
            <w:rFonts w:ascii="arial" w:eastAsia="arial" w:hAnsi="arial" w:cs="arial"/>
            <w:i/>
            <w:color w:val="0077CC"/>
            <w:sz w:val="20"/>
            <w:u w:val="single"/>
            <w:shd w:val="clear" w:color="auto" w:fill="FFFFFF"/>
            <w:lang w:val="en-US" w:eastAsia="en-US" w:bidi="ar-SA"/>
          </w:rPr>
          <w:t>Erie R. Co. v. Tompkins</w:t>
        </w:r>
      </w:hyperlink>
      <w:hyperlink r:id="rId27" w:history="1">
        <w:r>
          <w:rPr>
            <w:rFonts w:ascii="arial" w:eastAsia="arial" w:hAnsi="arial" w:cs="arial"/>
            <w:i/>
            <w:color w:val="0077CC"/>
            <w:sz w:val="20"/>
            <w:u w:val="single"/>
            <w:shd w:val="clear" w:color="auto" w:fill="FFFFFF"/>
            <w:lang w:val="en-US" w:eastAsia="en-US" w:bidi="ar-SA"/>
          </w:rPr>
          <w:t>, 304 U.S. 64, 64, 58 S. Ct. 817, 82 L. Ed. 1188 (1938)</w:t>
        </w:r>
      </w:hyperlink>
      <w:r>
        <w:rPr>
          <w:rFonts w:ascii="arial" w:eastAsia="arial" w:hAnsi="arial" w:cs="arial"/>
          <w:color w:val="000000"/>
          <w:sz w:val="20"/>
          <w:lang w:val="en-US" w:eastAsia="en-US" w:bidi="ar-SA"/>
        </w:rPr>
        <w:t xml:space="preserve">. Both parties submit that New Jersey law applies. Under New Jersey law, the interpretation of an insurance policy is a "question of law." </w:t>
      </w:r>
      <w:hyperlink r:id="rId28" w:history="1">
        <w:r>
          <w:rPr>
            <w:rFonts w:ascii="arial" w:eastAsia="arial" w:hAnsi="arial" w:cs="arial"/>
            <w:i/>
            <w:color w:val="0077CC"/>
            <w:sz w:val="20"/>
            <w:u w:val="single"/>
            <w:shd w:val="clear" w:color="auto" w:fill="FFFFFF"/>
            <w:lang w:val="en-US" w:eastAsia="en-US" w:bidi="ar-SA"/>
          </w:rPr>
          <w:t>Selective Ins. Co. of Am. v. Hudson E. Pain Mgmt. Osteopathic Med.</w:t>
        </w:r>
      </w:hyperlink>
      <w:hyperlink r:id="rId28" w:history="1">
        <w:r>
          <w:rPr>
            <w:rFonts w:ascii="arial" w:eastAsia="arial" w:hAnsi="arial" w:cs="arial"/>
            <w:i/>
            <w:color w:val="0077CC"/>
            <w:sz w:val="20"/>
            <w:u w:val="single"/>
            <w:shd w:val="clear" w:color="auto" w:fill="FFFFFF"/>
            <w:lang w:val="en-US" w:eastAsia="en-US" w:bidi="ar-SA"/>
          </w:rPr>
          <w:t>, 210 N.J. 597, 46 A.3d 1272, 1276 (N.J. 2012)</w:t>
        </w:r>
      </w:hyperlink>
      <w:r>
        <w:rPr>
          <w:rFonts w:ascii="arial" w:eastAsia="arial" w:hAnsi="arial" w:cs="arial"/>
          <w:color w:val="000000"/>
          <w:sz w:val="20"/>
          <w:lang w:val="en-US" w:eastAsia="en-US" w:bidi="ar-SA"/>
        </w:rPr>
        <w:t xml:space="preserve">. An insurance policy should be "interpreted according to its plain and ordinary meaning." </w:t>
      </w:r>
      <w:hyperlink r:id="rId29" w:history="1">
        <w:r>
          <w:rPr>
            <w:rFonts w:ascii="arial" w:eastAsia="arial" w:hAnsi="arial" w:cs="arial"/>
            <w:i/>
            <w:color w:val="0077CC"/>
            <w:sz w:val="20"/>
            <w:u w:val="single"/>
            <w:shd w:val="clear" w:color="auto" w:fill="FFFFFF"/>
            <w:lang w:val="en-US" w:eastAsia="en-US" w:bidi="ar-SA"/>
          </w:rPr>
          <w:t>Voorhees v. Preferred Mut. Ins. Co.</w:t>
        </w:r>
      </w:hyperlink>
      <w:hyperlink r:id="rId29" w:history="1">
        <w:r>
          <w:rPr>
            <w:rFonts w:ascii="arial" w:eastAsia="arial" w:hAnsi="arial" w:cs="arial"/>
            <w:i/>
            <w:color w:val="0077CC"/>
            <w:sz w:val="20"/>
            <w:u w:val="single"/>
            <w:shd w:val="clear" w:color="auto" w:fill="FFFFFF"/>
            <w:lang w:val="en-US" w:eastAsia="en-US" w:bidi="ar-SA"/>
          </w:rPr>
          <w:t>, 128 N.J. 165, 607 A.2d 1255, 1260 (N.J. 1992)</w:t>
        </w:r>
      </w:hyperlink>
      <w:r>
        <w:rPr>
          <w:rFonts w:ascii="arial" w:eastAsia="arial" w:hAnsi="arial" w:cs="arial"/>
          <w:color w:val="000000"/>
          <w:sz w:val="20"/>
          <w:lang w:val="en-US" w:eastAsia="en-US" w:bidi="ar-SA"/>
        </w:rPr>
        <w:t xml:space="preserve">. Where the language of the policy is clear and unambiguous, "the court is bound to enforce the policy as it is written." </w:t>
      </w:r>
      <w:hyperlink r:id="rId30" w:history="1">
        <w:r>
          <w:rPr>
            <w:rFonts w:ascii="arial" w:eastAsia="arial" w:hAnsi="arial" w:cs="arial"/>
            <w:i/>
            <w:color w:val="0077CC"/>
            <w:sz w:val="20"/>
            <w:u w:val="single"/>
            <w:shd w:val="clear" w:color="auto" w:fill="FFFFFF"/>
            <w:lang w:val="en-US" w:eastAsia="en-US" w:bidi="ar-SA"/>
          </w:rPr>
          <w:t>Royal Ins. Co. v. Rutgers Cas. Ins. Co.</w:t>
        </w:r>
      </w:hyperlink>
      <w:hyperlink r:id="rId30" w:history="1">
        <w:r>
          <w:rPr>
            <w:rFonts w:ascii="arial" w:eastAsia="arial" w:hAnsi="arial" w:cs="arial"/>
            <w:i/>
            <w:color w:val="0077CC"/>
            <w:sz w:val="20"/>
            <w:u w:val="single"/>
            <w:shd w:val="clear" w:color="auto" w:fill="FFFFFF"/>
            <w:lang w:val="en-US" w:eastAsia="en-US" w:bidi="ar-SA"/>
          </w:rPr>
          <w:t>, 271 N.J. Super. 409, 638 A.2d 924, 927 (N.J. Super. Ct. App. Div. 1994)</w:t>
        </w:r>
      </w:hyperlink>
      <w:r>
        <w:rPr>
          <w:rFonts w:ascii="arial" w:eastAsia="arial" w:hAnsi="arial" w:cs="arial"/>
          <w:color w:val="000000"/>
          <w:sz w:val="20"/>
          <w:lang w:val="en-US" w:eastAsia="en-US" w:bidi="ar-SA"/>
        </w:rPr>
        <w:t xml:space="preserve">. The court "should not write for the insured a better policy of insurance than the one purchased." </w:t>
      </w:r>
      <w:hyperlink r:id="rId31" w:history="1">
        <w:r>
          <w:rPr>
            <w:rFonts w:ascii="arial" w:eastAsia="arial" w:hAnsi="arial" w:cs="arial"/>
            <w:i/>
            <w:color w:val="0077CC"/>
            <w:sz w:val="20"/>
            <w:u w:val="single"/>
            <w:shd w:val="clear" w:color="auto" w:fill="FFFFFF"/>
            <w:lang w:val="en-US" w:eastAsia="en-US" w:bidi="ar-SA"/>
          </w:rPr>
          <w:t>Buczek v. Continental Cas. Ins. Co.</w:t>
        </w:r>
      </w:hyperlink>
      <w:hyperlink r:id="rId31" w:history="1">
        <w:r>
          <w:rPr>
            <w:rFonts w:ascii="arial" w:eastAsia="arial" w:hAnsi="arial" w:cs="arial"/>
            <w:i/>
            <w:color w:val="0077CC"/>
            <w:sz w:val="20"/>
            <w:u w:val="single"/>
            <w:shd w:val="clear" w:color="auto" w:fill="FFFFFF"/>
            <w:lang w:val="en-US" w:eastAsia="en-US" w:bidi="ar-SA"/>
          </w:rPr>
          <w:t>, 378 F.3d 284, 288 (3d Cir. 2004)</w:t>
        </w:r>
      </w:hyperlink>
      <w:r>
        <w:rPr>
          <w:rFonts w:ascii="arial" w:eastAsia="arial" w:hAnsi="arial" w:cs="arial"/>
          <w:color w:val="000000"/>
          <w:sz w:val="20"/>
          <w:lang w:val="en-US" w:eastAsia="en-US" w:bidi="ar-SA"/>
        </w:rPr>
        <w:t xml:space="preserve"> (citing </w:t>
      </w:r>
      <w:hyperlink r:id="rId32" w:history="1">
        <w:r>
          <w:rPr>
            <w:rFonts w:ascii="arial" w:eastAsia="arial" w:hAnsi="arial" w:cs="arial"/>
            <w:i/>
            <w:color w:val="0077CC"/>
            <w:sz w:val="20"/>
            <w:u w:val="single"/>
            <w:shd w:val="clear" w:color="auto" w:fill="FFFFFF"/>
            <w:lang w:val="en-US" w:eastAsia="en-US" w:bidi="ar-SA"/>
          </w:rPr>
          <w:t>Vassiliu v. Daimler Chrysler Corp.</w:t>
        </w:r>
      </w:hyperlink>
      <w:hyperlink r:id="rId32" w:history="1">
        <w:r>
          <w:rPr>
            <w:rFonts w:ascii="arial" w:eastAsia="arial" w:hAnsi="arial" w:cs="arial"/>
            <w:i/>
            <w:color w:val="0077CC"/>
            <w:sz w:val="20"/>
            <w:u w:val="single"/>
            <w:shd w:val="clear" w:color="auto" w:fill="FFFFFF"/>
            <w:lang w:val="en-US" w:eastAsia="en-US" w:bidi="ar-SA"/>
          </w:rPr>
          <w:t>, 178 N.J. 286, 839 A.2d 863, 867 (N.J. 2004))</w:t>
        </w:r>
      </w:hyperlink>
      <w:r>
        <w:rPr>
          <w:rFonts w:ascii="arial" w:eastAsia="arial" w:hAnsi="arial" w:cs="arial"/>
          <w:color w:val="000000"/>
          <w:sz w:val="20"/>
          <w:lang w:val="en-US" w:eastAsia="en-US" w:bidi="ar-SA"/>
        </w:rPr>
        <w:t xml:space="preserve">. Where the terms of the policy are ambiguous, however, the ambiguity is ordinarily resolved in favor of the insured. </w:t>
      </w:r>
      <w:r>
        <w:rPr>
          <w:rFonts w:ascii="arial" w:eastAsia="arial" w:hAnsi="arial" w:cs="arial"/>
          <w:i/>
          <w:color w:val="000000"/>
          <w:sz w:val="20"/>
          <w:lang w:val="en-US" w:eastAsia="en-US" w:bidi="ar-SA"/>
        </w:rPr>
        <w:t xml:space="preserve">See </w:t>
      </w:r>
      <w:hyperlink r:id="rId33" w:history="1">
        <w:r>
          <w:rPr>
            <w:rFonts w:ascii="arial" w:eastAsia="arial" w:hAnsi="arial" w:cs="arial"/>
            <w:i/>
            <w:color w:val="0077CC"/>
            <w:sz w:val="20"/>
            <w:u w:val="single"/>
            <w:shd w:val="clear" w:color="auto" w:fill="FFFFFF"/>
            <w:lang w:val="en-US" w:eastAsia="en-US" w:bidi="ar-SA"/>
          </w:rPr>
          <w:t>Benjamin Moore &amp; Co. v. Aetna Cas. &amp; Sur. Co.</w:t>
        </w:r>
      </w:hyperlink>
      <w:hyperlink r:id="rId33" w:history="1">
        <w:r>
          <w:rPr>
            <w:rFonts w:ascii="arial" w:eastAsia="arial" w:hAnsi="arial" w:cs="arial"/>
            <w:i/>
            <w:color w:val="0077CC"/>
            <w:sz w:val="20"/>
            <w:u w:val="single"/>
            <w:shd w:val="clear" w:color="auto" w:fill="FFFFFF"/>
            <w:lang w:val="en-US" w:eastAsia="en-US" w:bidi="ar-SA"/>
          </w:rPr>
          <w:t>, 179 N.J. 87, 843 A.2d 1094, 1103 (N.J. 2004)</w:t>
        </w:r>
      </w:hyperlink>
      <w:r>
        <w:rPr>
          <w:rFonts w:ascii="arial" w:eastAsia="arial" w:hAnsi="arial" w:cs="arial"/>
          <w:color w:val="000000"/>
          <w:sz w:val="20"/>
          <w:lang w:val="en-US" w:eastAsia="en-US" w:bidi="ar-SA"/>
        </w:rPr>
        <w:t xml:space="preserve">. However, ambiguities will not be forced into an insurance policy nor will the words of an insurance policy be artfully construed to include a type of coverage outside the scope and nature of the policy in question. </w:t>
      </w:r>
      <w:r>
        <w:rPr>
          <w:rFonts w:ascii="arial" w:eastAsia="arial" w:hAnsi="arial" w:cs="arial"/>
          <w:i/>
          <w:color w:val="000000"/>
          <w:sz w:val="20"/>
          <w:lang w:val="en-US" w:eastAsia="en-US" w:bidi="ar-SA"/>
        </w:rPr>
        <w:t>Id.</w:t>
      </w:r>
    </w:p>
    <w:p>
      <w:pPr>
        <w:keepNext w:val="0"/>
        <w:widowControl w:val="0"/>
        <w:spacing w:before="240" w:after="0" w:line="260" w:lineRule="atLeast"/>
        <w:ind w:left="0" w:right="0" w:firstLine="0"/>
        <w:jc w:val="both"/>
        <w:rPr>
          <w:lang w:val="en-US" w:eastAsia="en-US" w:bidi="ar-SA"/>
        </w:rPr>
      </w:pPr>
      <w:bookmarkStart w:id="24" w:name="Bookmark_para_17"/>
      <w:bookmarkEnd w:id="24"/>
      <w:r>
        <w:rPr>
          <w:rFonts w:ascii="arial" w:eastAsia="arial" w:hAnsi="arial" w:cs="arial"/>
          <w:color w:val="000000"/>
          <w:sz w:val="20"/>
          <w:lang w:val="en-US" w:eastAsia="en-US" w:bidi="ar-SA"/>
        </w:rPr>
        <w:t xml:space="preserve">Exclusions within an insurance policy are narrowly interpreted and construed in accord with the objectively reasonable expectations of the insured. </w:t>
      </w:r>
      <w:hyperlink r:id="rId34" w:history="1">
        <w:r>
          <w:rPr>
            <w:rFonts w:ascii="arial" w:eastAsia="arial" w:hAnsi="arial" w:cs="arial"/>
            <w:i/>
            <w:color w:val="0077CC"/>
            <w:sz w:val="20"/>
            <w:u w:val="single"/>
            <w:shd w:val="clear" w:color="auto" w:fill="FFFFFF"/>
            <w:lang w:val="en-US" w:eastAsia="en-US" w:bidi="ar-SA"/>
          </w:rPr>
          <w:t>Princeton Ins. Co. v. Chunmuang</w:t>
        </w:r>
      </w:hyperlink>
      <w:hyperlink r:id="rId34" w:history="1">
        <w:r>
          <w:rPr>
            <w:rFonts w:ascii="arial" w:eastAsia="arial" w:hAnsi="arial" w:cs="arial"/>
            <w:i/>
            <w:color w:val="0077CC"/>
            <w:sz w:val="20"/>
            <w:u w:val="single"/>
            <w:shd w:val="clear" w:color="auto" w:fill="FFFFFF"/>
            <w:lang w:val="en-US" w:eastAsia="en-US" w:bidi="ar-SA"/>
          </w:rPr>
          <w:t>, 151 N.J. 80, 698 A.2d 9, 11 (N.J. 1997)</w:t>
        </w:r>
      </w:hyperlink>
      <w:r>
        <w:rPr>
          <w:rFonts w:ascii="arial" w:eastAsia="arial" w:hAnsi="arial" w:cs="arial"/>
          <w:color w:val="000000"/>
          <w:sz w:val="20"/>
          <w:lang w:val="en-US" w:eastAsia="en-US" w:bidi="ar-SA"/>
        </w:rPr>
        <w:t xml:space="preserve">. Although exclusionary clauses are construed narrowly, they will be applied where they are "specific, plain, clear, prominent, and not contrary to public policy." </w:t>
      </w:r>
      <w:hyperlink r:id="rId35" w:history="1">
        <w:r>
          <w:rPr>
            <w:rFonts w:ascii="arial" w:eastAsia="arial" w:hAnsi="arial" w:cs="arial"/>
            <w:i/>
            <w:color w:val="0077CC"/>
            <w:sz w:val="20"/>
            <w:u w:val="single"/>
            <w:shd w:val="clear" w:color="auto" w:fill="FFFFFF"/>
            <w:lang w:val="en-US" w:eastAsia="en-US" w:bidi="ar-SA"/>
          </w:rPr>
          <w:t>Ashrit Realty LLC v. Tower Nat'l Ins. Co.</w:t>
        </w:r>
      </w:hyperlink>
      <w:hyperlink r:id="rId35" w:history="1">
        <w:r>
          <w:rPr>
            <w:rFonts w:ascii="arial" w:eastAsia="arial" w:hAnsi="arial" w:cs="arial"/>
            <w:i/>
            <w:color w:val="0077CC"/>
            <w:sz w:val="20"/>
            <w:u w:val="single"/>
            <w:shd w:val="clear" w:color="auto" w:fill="FFFFFF"/>
            <w:lang w:val="en-US" w:eastAsia="en-US" w:bidi="ar-SA"/>
          </w:rPr>
          <w:t>, A-1647-13T4, 2015 N.J. Super. Unpub. LEXIS 107, 2015 WL 248490, at *4 (N.J. Super. Ct. App. Div. Jan. 20, 2015)</w:t>
        </w:r>
      </w:hyperlink>
      <w:r>
        <w:rPr>
          <w:rFonts w:ascii="arial" w:eastAsia="arial" w:hAnsi="arial" w:cs="arial"/>
          <w:color w:val="000000"/>
          <w:sz w:val="20"/>
          <w:lang w:val="en-US" w:eastAsia="en-US" w:bidi="ar-SA"/>
        </w:rPr>
        <w:t xml:space="preserve"> (citing </w:t>
      </w:r>
      <w:hyperlink r:id="rId36" w:history="1">
        <w:r>
          <w:rPr>
            <w:rFonts w:ascii="arial" w:eastAsia="arial" w:hAnsi="arial" w:cs="arial"/>
            <w:i/>
            <w:color w:val="0077CC"/>
            <w:sz w:val="20"/>
            <w:u w:val="single"/>
            <w:shd w:val="clear" w:color="auto" w:fill="FFFFFF"/>
            <w:lang w:val="en-US" w:eastAsia="en-US" w:bidi="ar-SA"/>
          </w:rPr>
          <w:t>Homesite Ins. Co. v. Hindman</w:t>
        </w:r>
      </w:hyperlink>
      <w:hyperlink r:id="rId36" w:history="1">
        <w:r>
          <w:rPr>
            <w:rFonts w:ascii="arial" w:eastAsia="arial" w:hAnsi="arial" w:cs="arial"/>
            <w:i/>
            <w:color w:val="0077CC"/>
            <w:sz w:val="20"/>
            <w:u w:val="single"/>
            <w:shd w:val="clear" w:color="auto" w:fill="FFFFFF"/>
            <w:lang w:val="en-US" w:eastAsia="en-US" w:bidi="ar-SA"/>
          </w:rPr>
          <w:t>, 413 N.J. Super. 41, 992 A.2d 804, 807 (N.J. Super. Ct. App. Div. 2010))</w:t>
        </w:r>
      </w:hyperlink>
      <w:r>
        <w:rPr>
          <w:rFonts w:ascii="arial" w:eastAsia="arial" w:hAnsi="arial" w:cs="arial"/>
          <w:color w:val="000000"/>
          <w:sz w:val="20"/>
          <w:lang w:val="en-US" w:eastAsia="en-US" w:bidi="ar-SA"/>
        </w:rPr>
        <w:t>. The Third</w:t>
      </w:r>
      <w:r>
        <w:rPr>
          <w:rFonts w:ascii="arial" w:eastAsia="arial" w:hAnsi="arial" w:cs="arial"/>
          <w:b/>
          <w:color w:val="000000"/>
          <w:sz w:val="20"/>
          <w:lang w:val="en-US" w:eastAsia="en-US" w:bidi="ar-SA"/>
        </w:rPr>
        <w:t> [*7] </w:t>
      </w:r>
      <w:r>
        <w:rPr>
          <w:rFonts w:ascii="arial" w:eastAsia="arial" w:hAnsi="arial" w:cs="arial"/>
          <w:color w:val="000000"/>
          <w:sz w:val="20"/>
          <w:lang w:val="en-US" w:eastAsia="en-US" w:bidi="ar-SA"/>
        </w:rPr>
        <w:t xml:space="preserve"> Circuit and courts within this Circuit have regularly granted motions to dismiss in insurance cases when the plaintiff's allegations fall squarely within the policy's exclusion to coverage. </w:t>
      </w:r>
      <w:r>
        <w:rPr>
          <w:rFonts w:ascii="arial" w:eastAsia="arial" w:hAnsi="arial" w:cs="arial"/>
          <w:i/>
          <w:color w:val="000000"/>
          <w:sz w:val="20"/>
          <w:lang w:val="en-US" w:eastAsia="en-US" w:bidi="ar-SA"/>
        </w:rPr>
        <w:t xml:space="preserve">See </w:t>
      </w:r>
      <w:hyperlink r:id="rId37" w:history="1">
        <w:r>
          <w:rPr>
            <w:rFonts w:ascii="arial" w:eastAsia="arial" w:hAnsi="arial" w:cs="arial"/>
            <w:i/>
            <w:color w:val="0077CC"/>
            <w:sz w:val="20"/>
            <w:u w:val="single"/>
            <w:shd w:val="clear" w:color="auto" w:fill="FFFFFF"/>
            <w:lang w:val="en-US" w:eastAsia="en-US" w:bidi="ar-SA"/>
          </w:rPr>
          <w:t>Brewer v. U.S. Fire Ins. Co.</w:t>
        </w:r>
      </w:hyperlink>
      <w:hyperlink r:id="rId37" w:history="1">
        <w:r>
          <w:rPr>
            <w:rFonts w:ascii="arial" w:eastAsia="arial" w:hAnsi="arial" w:cs="arial"/>
            <w:i/>
            <w:color w:val="0077CC"/>
            <w:sz w:val="20"/>
            <w:u w:val="single"/>
            <w:shd w:val="clear" w:color="auto" w:fill="FFFFFF"/>
            <w:lang w:val="en-US" w:eastAsia="en-US" w:bidi="ar-SA"/>
          </w:rPr>
          <w:t>, 446 F. App'x 506, 510 (3d Cir. 2011)</w:t>
        </w:r>
      </w:hyperlink>
      <w:r>
        <w:rPr>
          <w:rFonts w:ascii="arial" w:eastAsia="arial" w:hAnsi="arial" w:cs="arial"/>
          <w:color w:val="000000"/>
          <w:sz w:val="20"/>
          <w:lang w:val="en-US" w:eastAsia="en-US" w:bidi="ar-SA"/>
        </w:rPr>
        <w:t xml:space="preserve"> (affirming dismissal of complaint because the unambiguous policy exclusion applied as a matter of law); </w:t>
      </w:r>
      <w:hyperlink r:id="rId38" w:history="1">
        <w:r>
          <w:rPr>
            <w:rFonts w:ascii="arial" w:eastAsia="arial" w:hAnsi="arial" w:cs="arial"/>
            <w:i/>
            <w:color w:val="0077CC"/>
            <w:sz w:val="20"/>
            <w:u w:val="single"/>
            <w:shd w:val="clear" w:color="auto" w:fill="FFFFFF"/>
            <w:lang w:val="en-US" w:eastAsia="en-US" w:bidi="ar-SA"/>
          </w:rPr>
          <w:t>Nautilus Ins. Co. v. Shawn Owens Inc.</w:t>
        </w:r>
      </w:hyperlink>
      <w:hyperlink r:id="rId38" w:history="1">
        <w:r>
          <w:rPr>
            <w:rFonts w:ascii="arial" w:eastAsia="arial" w:hAnsi="arial" w:cs="arial"/>
            <w:i/>
            <w:color w:val="0077CC"/>
            <w:sz w:val="20"/>
            <w:u w:val="single"/>
            <w:shd w:val="clear" w:color="auto" w:fill="FFFFFF"/>
            <w:lang w:val="en-US" w:eastAsia="en-US" w:bidi="ar-SA"/>
          </w:rPr>
          <w:t>, 316 F. Supp. 3d 873, 878 (E.D. Pa. 2018)</w:t>
        </w:r>
      </w:hyperlink>
      <w:r>
        <w:rPr>
          <w:rFonts w:ascii="arial" w:eastAsia="arial" w:hAnsi="arial" w:cs="arial"/>
          <w:color w:val="000000"/>
          <w:sz w:val="20"/>
          <w:lang w:val="en-US" w:eastAsia="en-US" w:bidi="ar-SA"/>
        </w:rPr>
        <w:t xml:space="preserve"> (finding exclusion barred insurance coverage under policy and granting insurer's </w:t>
      </w:r>
      <w:hyperlink r:id="rId19" w:history="1">
        <w:r>
          <w:rPr>
            <w:rFonts w:ascii="arial" w:eastAsia="arial" w:hAnsi="arial" w:cs="arial"/>
            <w:i/>
            <w:color w:val="0077CC"/>
            <w:sz w:val="20"/>
            <w:u w:val="single"/>
            <w:shd w:val="clear" w:color="auto" w:fill="FFFFFF"/>
            <w:lang w:val="en-US" w:eastAsia="en-US" w:bidi="ar-SA"/>
          </w:rPr>
          <w:t>Rule 12(c)</w:t>
        </w:r>
      </w:hyperlink>
      <w:r>
        <w:rPr>
          <w:rFonts w:ascii="arial" w:eastAsia="arial" w:hAnsi="arial" w:cs="arial"/>
          <w:color w:val="000000"/>
          <w:sz w:val="20"/>
          <w:lang w:val="en-US" w:eastAsia="en-US" w:bidi="ar-SA"/>
        </w:rPr>
        <w:t xml:space="preserve"> motion); </w:t>
      </w:r>
      <w:hyperlink r:id="rId39" w:history="1">
        <w:r>
          <w:rPr>
            <w:rFonts w:ascii="arial" w:eastAsia="arial" w:hAnsi="arial" w:cs="arial"/>
            <w:i/>
            <w:color w:val="0077CC"/>
            <w:sz w:val="20"/>
            <w:u w:val="single"/>
            <w:shd w:val="clear" w:color="auto" w:fill="FFFFFF"/>
            <w:lang w:val="en-US" w:eastAsia="en-US" w:bidi="ar-SA"/>
          </w:rPr>
          <w:t>Nautilus Ins. Co. v. Motel Mgmt. Servs., Inc.</w:t>
        </w:r>
      </w:hyperlink>
      <w:hyperlink r:id="rId39" w:history="1">
        <w:r>
          <w:rPr>
            <w:rFonts w:ascii="arial" w:eastAsia="arial" w:hAnsi="arial" w:cs="arial"/>
            <w:i/>
            <w:color w:val="0077CC"/>
            <w:sz w:val="20"/>
            <w:u w:val="single"/>
            <w:shd w:val="clear" w:color="auto" w:fill="FFFFFF"/>
            <w:lang w:val="en-US" w:eastAsia="en-US" w:bidi="ar-SA"/>
          </w:rPr>
          <w:t>, 320 F. Supp. 3d 636, 643 (E.D. Pa. 2018)</w:t>
        </w:r>
      </w:hyperlink>
      <w:r>
        <w:rPr>
          <w:rFonts w:ascii="arial" w:eastAsia="arial" w:hAnsi="arial" w:cs="arial"/>
          <w:color w:val="000000"/>
          <w:sz w:val="20"/>
          <w:lang w:val="en-US" w:eastAsia="en-US" w:bidi="ar-SA"/>
        </w:rPr>
        <w:t xml:space="preserve">, </w:t>
      </w:r>
      <w:r>
        <w:rPr>
          <w:rFonts w:ascii="arial" w:eastAsia="arial" w:hAnsi="arial" w:cs="arial"/>
          <w:i/>
          <w:color w:val="000000"/>
          <w:sz w:val="20"/>
          <w:lang w:val="en-US" w:eastAsia="en-US" w:bidi="ar-SA"/>
        </w:rPr>
        <w:t>aff'd</w:t>
      </w:r>
      <w:r>
        <w:rPr>
          <w:rFonts w:ascii="arial" w:eastAsia="arial" w:hAnsi="arial" w:cs="arial"/>
          <w:color w:val="000000"/>
          <w:sz w:val="20"/>
          <w:lang w:val="en-US" w:eastAsia="en-US" w:bidi="ar-SA"/>
        </w:rPr>
        <w:t xml:space="preserve">, </w:t>
      </w:r>
      <w:hyperlink r:id="rId40" w:history="1">
        <w:r>
          <w:rPr>
            <w:rFonts w:ascii="arial" w:eastAsia="arial" w:hAnsi="arial" w:cs="arial"/>
            <w:i/>
            <w:color w:val="0077CC"/>
            <w:sz w:val="20"/>
            <w:u w:val="single"/>
            <w:shd w:val="clear" w:color="auto" w:fill="FFFFFF"/>
            <w:lang w:val="en-US" w:eastAsia="en-US" w:bidi="ar-SA"/>
          </w:rPr>
          <w:t>781 F. App'x 57 (3d Cir. 2019)</w:t>
        </w:r>
      </w:hyperlink>
      <w:r>
        <w:rPr>
          <w:rFonts w:ascii="arial" w:eastAsia="arial" w:hAnsi="arial" w:cs="arial"/>
          <w:color w:val="000000"/>
          <w:sz w:val="20"/>
          <w:lang w:val="en-US" w:eastAsia="en-US" w:bidi="ar-SA"/>
        </w:rPr>
        <w:t xml:space="preserve"> (granting insurer's </w:t>
      </w:r>
      <w:hyperlink r:id="rId19" w:history="1">
        <w:r>
          <w:rPr>
            <w:rFonts w:ascii="arial" w:eastAsia="arial" w:hAnsi="arial" w:cs="arial"/>
            <w:i/>
            <w:color w:val="0077CC"/>
            <w:sz w:val="20"/>
            <w:u w:val="single"/>
            <w:shd w:val="clear" w:color="auto" w:fill="FFFFFF"/>
            <w:lang w:val="en-US" w:eastAsia="en-US" w:bidi="ar-SA"/>
          </w:rPr>
          <w:t>Rule 12(c)</w:t>
        </w:r>
      </w:hyperlink>
      <w:r>
        <w:rPr>
          <w:rFonts w:ascii="arial" w:eastAsia="arial" w:hAnsi="arial" w:cs="arial"/>
          <w:color w:val="000000"/>
          <w:sz w:val="20"/>
          <w:lang w:val="en-US" w:eastAsia="en-US" w:bidi="ar-SA"/>
        </w:rPr>
        <w:t xml:space="preserve"> motion because the assault and battery exclusion comprehensively barred all conduct alleged).</w:t>
      </w:r>
    </w:p>
    <w:p>
      <w:pPr>
        <w:keepNext w:val="0"/>
        <w:widowControl w:val="0"/>
        <w:spacing w:before="240" w:after="0" w:line="260" w:lineRule="atLeast"/>
        <w:ind w:left="0" w:right="0" w:firstLine="0"/>
        <w:jc w:val="left"/>
        <w:rPr>
          <w:lang w:val="en-US" w:eastAsia="en-US" w:bidi="ar-SA"/>
        </w:rPr>
      </w:pPr>
      <w:r>
        <w:rPr>
          <w:lang w:val="en-US" w:eastAsia="en-US" w:bidi="ar-SA"/>
        </w:rPr>
        <w:br/>
      </w:r>
      <w:r>
        <w:rPr>
          <w:rFonts w:ascii="arial" w:eastAsia="arial" w:hAnsi="arial" w:cs="arial"/>
          <w:b/>
          <w:color w:val="000000"/>
          <w:sz w:val="20"/>
          <w:lang w:val="en-US" w:eastAsia="en-US" w:bidi="ar-SA"/>
        </w:rPr>
        <w:t>III. DISCUSSION</w:t>
      </w:r>
    </w:p>
    <w:p>
      <w:pPr>
        <w:keepNext w:val="0"/>
        <w:widowControl w:val="0"/>
        <w:spacing w:before="200" w:after="0" w:line="260" w:lineRule="atLeast"/>
        <w:ind w:left="0" w:right="0" w:firstLine="0"/>
        <w:jc w:val="both"/>
        <w:rPr>
          <w:lang w:val="en-US" w:eastAsia="en-US" w:bidi="ar-SA"/>
        </w:rPr>
      </w:pPr>
      <w:bookmarkStart w:id="25" w:name="Bookmark_para_18"/>
      <w:bookmarkEnd w:id="25"/>
      <w:r>
        <w:rPr>
          <w:rFonts w:ascii="arial" w:eastAsia="arial" w:hAnsi="arial" w:cs="arial"/>
          <w:color w:val="000000"/>
          <w:sz w:val="20"/>
          <w:lang w:val="en-US" w:eastAsia="en-US" w:bidi="ar-SA"/>
        </w:rPr>
        <w:t>Defendant asserts it is not required to provide coverage to Plaintiff under the Policy for three reasons: (1) Plaintiff did not "sustain 'direct physical loss' or 'damage' to the insured premises, precluding Business Income and Extra Expense coverage"; (2) Plaintiff did not "sustain loss as a consequence of damage to any property . . . precluding 'Civil Authority' Coverage"; and (3) the "Virus Exclusion independently bars coverage" under all provisions. (Mot. at 13, 26, 28.) As both parties note, courts even within the state of New Jersey have come to differing and split conclusions regarding the interpretation of the term "direct physical loss." However, the Court</w:t>
      </w:r>
      <w:r>
        <w:rPr>
          <w:rFonts w:ascii="arial" w:eastAsia="arial" w:hAnsi="arial" w:cs="arial"/>
          <w:b/>
          <w:color w:val="000000"/>
          <w:sz w:val="20"/>
          <w:lang w:val="en-US" w:eastAsia="en-US" w:bidi="ar-SA"/>
        </w:rPr>
        <w:t> [*8] </w:t>
      </w:r>
      <w:r>
        <w:rPr>
          <w:rFonts w:ascii="arial" w:eastAsia="arial" w:hAnsi="arial" w:cs="arial"/>
          <w:color w:val="000000"/>
          <w:sz w:val="20"/>
          <w:lang w:val="en-US" w:eastAsia="en-US" w:bidi="ar-SA"/>
        </w:rPr>
        <w:t xml:space="preserve"> finds it unnecessary to decide whether Plaintiff's claim resulted from direct physical loss or damage because the Court finds that the Virus Exclusion plainly applies here, barring coverage.</w:t>
      </w:r>
    </w:p>
    <w:p>
      <w:pPr>
        <w:keepNext w:val="0"/>
        <w:widowControl w:val="0"/>
        <w:spacing w:before="240" w:after="0" w:line="260" w:lineRule="atLeast"/>
        <w:ind w:left="0" w:right="0" w:firstLine="0"/>
        <w:jc w:val="left"/>
        <w:rPr>
          <w:lang w:val="en-US" w:eastAsia="en-US" w:bidi="ar-SA"/>
        </w:rPr>
      </w:pPr>
      <w:r>
        <w:rPr>
          <w:lang w:val="en-US" w:eastAsia="en-US" w:bidi="ar-SA"/>
        </w:rPr>
        <w:br/>
      </w:r>
      <w:r>
        <w:rPr>
          <w:rFonts w:ascii="arial" w:eastAsia="arial" w:hAnsi="arial" w:cs="arial"/>
          <w:b/>
          <w:color w:val="000000"/>
          <w:sz w:val="20"/>
          <w:lang w:val="en-US" w:eastAsia="en-US" w:bidi="ar-SA"/>
        </w:rPr>
        <w:t>A. The Virus Exclusion Applies</w:t>
      </w:r>
    </w:p>
    <w:p>
      <w:pPr>
        <w:keepNext w:val="0"/>
        <w:widowControl w:val="0"/>
        <w:spacing w:before="200" w:after="0" w:line="260" w:lineRule="atLeast"/>
        <w:ind w:left="0" w:right="0" w:firstLine="0"/>
        <w:jc w:val="both"/>
        <w:rPr>
          <w:lang w:val="en-US" w:eastAsia="en-US" w:bidi="ar-SA"/>
        </w:rPr>
      </w:pPr>
      <w:bookmarkStart w:id="26" w:name="Bookmark_para_19"/>
      <w:bookmarkEnd w:id="26"/>
      <w:r>
        <w:rPr>
          <w:rFonts w:ascii="arial" w:eastAsia="arial" w:hAnsi="arial" w:cs="arial"/>
          <w:color w:val="000000"/>
          <w:sz w:val="20"/>
          <w:lang w:val="en-US" w:eastAsia="en-US" w:bidi="ar-SA"/>
        </w:rPr>
        <w:t>The Virus Exclusion states that "[Defendant] will not pay for loss or damage caused directly or indirectly by . . . [a]ny virus, bacterium or other microorganism that induces or is capable of inducing physical distress, illness[,] or disease." (Mot. at 28.) Additionally, the Virus Exclusion contains an "anti-concurrent causation preamble," which states that "[s]uch loss or damage is excluded regardless of any other cause or event that contributes concurrently or in any sequence to the loss."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Defendant asserts that the Virus Exclusion "in conjunction with the anti-concurrent causation preamble, expressly excludes coverage of an otherwise covered loss that is related directly or indirectly to a virus."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at 31.) Defendant contends that the "Executive Order—both by its own terms and according to the allegations in the Complaint—arose out of" COVID-19.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Therefore, because COVID-19 caused the Executive Order mandating closure of all non-essential businesses, the Virus</w:t>
      </w:r>
      <w:r>
        <w:rPr>
          <w:rFonts w:ascii="arial" w:eastAsia="arial" w:hAnsi="arial" w:cs="arial"/>
          <w:b/>
          <w:color w:val="000000"/>
          <w:sz w:val="20"/>
          <w:lang w:val="en-US" w:eastAsia="en-US" w:bidi="ar-SA"/>
        </w:rPr>
        <w:t> [*9] </w:t>
      </w:r>
      <w:r>
        <w:rPr>
          <w:rFonts w:ascii="arial" w:eastAsia="arial" w:hAnsi="arial" w:cs="arial"/>
          <w:color w:val="000000"/>
          <w:sz w:val="20"/>
          <w:lang w:val="en-US" w:eastAsia="en-US" w:bidi="ar-SA"/>
        </w:rPr>
        <w:t xml:space="preserve"> Exclusion applies.</w:t>
      </w:r>
    </w:p>
    <w:p>
      <w:pPr>
        <w:keepNext w:val="0"/>
        <w:widowControl w:val="0"/>
        <w:spacing w:before="200" w:after="0" w:line="260" w:lineRule="atLeast"/>
        <w:ind w:left="0" w:right="0" w:firstLine="0"/>
        <w:jc w:val="both"/>
        <w:rPr>
          <w:lang w:val="en-US" w:eastAsia="en-US" w:bidi="ar-SA"/>
        </w:rPr>
      </w:pPr>
      <w:bookmarkStart w:id="27" w:name="Bookmark_para_20"/>
      <w:bookmarkEnd w:id="27"/>
      <w:r>
        <w:rPr>
          <w:rFonts w:ascii="arial" w:eastAsia="arial" w:hAnsi="arial" w:cs="arial"/>
          <w:color w:val="000000"/>
          <w:sz w:val="20"/>
          <w:lang w:val="en-US" w:eastAsia="en-US" w:bidi="ar-SA"/>
        </w:rPr>
        <w:t>In response, Plaintiff argues that the Virus Exclusion does not apply because the "cause of Plaintiff's loss was the Closure Orders, not the coronavirus." (Opp. at 15.) Plaintiff supports this point by asserting that "Plaintiff's claimed loss is not for decontaminating its premises as a result of a coronavirus infestation."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at 16.) Therefore, because the closure orders from Governor Murphy </w:t>
      </w:r>
      <w:r>
        <w:rPr>
          <w:rFonts w:ascii="arial" w:eastAsia="arial" w:hAnsi="arial" w:cs="arial"/>
          <w:i/>
          <w:color w:val="000000"/>
          <w:sz w:val="20"/>
          <w:lang w:val="en-US" w:eastAsia="en-US" w:bidi="ar-SA"/>
        </w:rPr>
        <w:t>caused</w:t>
      </w:r>
      <w:r>
        <w:rPr>
          <w:rFonts w:ascii="arial" w:eastAsia="arial" w:hAnsi="arial" w:cs="arial"/>
          <w:color w:val="000000"/>
          <w:sz w:val="20"/>
          <w:lang w:val="en-US" w:eastAsia="en-US" w:bidi="ar-SA"/>
        </w:rPr>
        <w:t xml:space="preserve"> the loss of business income, the Policy still applies, and Defendant must provide coverage.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at 16-17.)</w:t>
      </w:r>
    </w:p>
    <w:p>
      <w:pPr>
        <w:keepNext w:val="0"/>
        <w:widowControl w:val="0"/>
        <w:spacing w:before="200" w:after="0" w:line="260" w:lineRule="atLeast"/>
        <w:ind w:left="0" w:right="0" w:firstLine="0"/>
        <w:jc w:val="both"/>
        <w:rPr>
          <w:lang w:val="en-US" w:eastAsia="en-US" w:bidi="ar-SA"/>
        </w:rPr>
      </w:pPr>
      <w:bookmarkStart w:id="28" w:name="Bookmark_para_21"/>
      <w:bookmarkEnd w:id="28"/>
      <w:r>
        <w:rPr>
          <w:rFonts w:ascii="arial" w:eastAsia="arial" w:hAnsi="arial" w:cs="arial"/>
          <w:color w:val="000000"/>
          <w:sz w:val="20"/>
          <w:lang w:val="en-US" w:eastAsia="en-US" w:bidi="ar-SA"/>
        </w:rPr>
        <w:t xml:space="preserve">The Court finds Plaintiff's arguments unpersuasive. The anti-concurrent causation clause specifically states that loss caused directly </w:t>
      </w:r>
      <w:r>
        <w:rPr>
          <w:rFonts w:ascii="arial" w:eastAsia="arial" w:hAnsi="arial" w:cs="arial"/>
          <w:i/>
          <w:color w:val="000000"/>
          <w:sz w:val="20"/>
          <w:lang w:val="en-US" w:eastAsia="en-US" w:bidi="ar-SA"/>
        </w:rPr>
        <w:t>or indirectly</w:t>
      </w:r>
      <w:r>
        <w:rPr>
          <w:rFonts w:ascii="arial" w:eastAsia="arial" w:hAnsi="arial" w:cs="arial"/>
          <w:color w:val="000000"/>
          <w:sz w:val="20"/>
          <w:lang w:val="en-US" w:eastAsia="en-US" w:bidi="ar-SA"/>
        </w:rPr>
        <w:t xml:space="preserve"> by a virus is excluded. (</w:t>
      </w:r>
      <w:r>
        <w:rPr>
          <w:rFonts w:ascii="arial" w:eastAsia="arial" w:hAnsi="arial" w:cs="arial"/>
          <w:i/>
          <w:color w:val="000000"/>
          <w:sz w:val="20"/>
          <w:lang w:val="en-US" w:eastAsia="en-US" w:bidi="ar-SA"/>
        </w:rPr>
        <w:t>See</w:t>
      </w:r>
      <w:r>
        <w:rPr>
          <w:rFonts w:ascii="arial" w:eastAsia="arial" w:hAnsi="arial" w:cs="arial"/>
          <w:color w:val="000000"/>
          <w:sz w:val="20"/>
          <w:lang w:val="en-US" w:eastAsia="en-US" w:bidi="ar-SA"/>
        </w:rPr>
        <w:t xml:space="preserve"> Policy at 17) (emphasis added.) This is true regardless of any other event </w:t>
      </w:r>
      <w:r>
        <w:rPr>
          <w:rFonts w:ascii="arial" w:eastAsia="arial" w:hAnsi="arial" w:cs="arial"/>
          <w:i/>
          <w:color w:val="000000"/>
          <w:sz w:val="20"/>
          <w:lang w:val="en-US" w:eastAsia="en-US" w:bidi="ar-SA"/>
        </w:rPr>
        <w:t>in any other sequence</w:t>
      </w:r>
      <w:r>
        <w:rPr>
          <w:rFonts w:ascii="arial" w:eastAsia="arial" w:hAnsi="arial" w:cs="arial"/>
          <w:color w:val="000000"/>
          <w:sz w:val="20"/>
          <w:lang w:val="en-US" w:eastAsia="en-US" w:bidi="ar-SA"/>
        </w:rPr>
        <w:t xml:space="preserve"> that contributes to the loss.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(emphasis added.) There is no doubt that COVID-19, a virus, caused Governor Murphy to issue the Executive Order mandating closure of Plaintiff's restaurant. Therefore, COVID-19 is still a cause of the closure because the Virus Exclusion </w:t>
      </w:r>
      <w:r>
        <w:rPr>
          <w:rFonts w:ascii="arial" w:eastAsia="arial" w:hAnsi="arial" w:cs="arial"/>
          <w:i/>
          <w:color w:val="000000"/>
          <w:sz w:val="20"/>
          <w:lang w:val="en-US" w:eastAsia="en-US" w:bidi="ar-SA"/>
        </w:rPr>
        <w:t>specifically provides for such indirect causation</w:t>
      </w:r>
      <w:r>
        <w:rPr>
          <w:rFonts w:ascii="arial" w:eastAsia="arial" w:hAnsi="arial" w:cs="arial"/>
          <w:color w:val="000000"/>
          <w:sz w:val="20"/>
          <w:lang w:val="en-US" w:eastAsia="en-US" w:bidi="ar-SA"/>
        </w:rPr>
        <w:t>. There is no requirement, as Plaintiff suggests, for the virus to have physically caused the loss, such as via contamination</w:t>
      </w:r>
      <w:r>
        <w:rPr>
          <w:rFonts w:ascii="arial" w:eastAsia="arial" w:hAnsi="arial" w:cs="arial"/>
          <w:b/>
          <w:color w:val="000000"/>
          <w:sz w:val="20"/>
          <w:lang w:val="en-US" w:eastAsia="en-US" w:bidi="ar-SA"/>
        </w:rPr>
        <w:t> [*10] </w:t>
      </w:r>
      <w:r>
        <w:rPr>
          <w:rFonts w:ascii="arial" w:eastAsia="arial" w:hAnsi="arial" w:cs="arial"/>
          <w:color w:val="000000"/>
          <w:sz w:val="20"/>
          <w:lang w:val="en-US" w:eastAsia="en-US" w:bidi="ar-SA"/>
        </w:rPr>
        <w:t xml:space="preserve"> of the property. Although costs for decontamination would certainly be a direct loss caused by the virus, this is not the only possible loss that would trigger the Virus Exclusion. By its plain language, the Virus Exclusion applies, barring coverage.</w:t>
      </w:r>
    </w:p>
    <w:p>
      <w:pPr>
        <w:keepNext w:val="0"/>
        <w:widowControl w:val="0"/>
        <w:spacing w:before="240" w:after="0" w:line="260" w:lineRule="atLeast"/>
        <w:ind w:left="0" w:right="0" w:firstLine="0"/>
        <w:jc w:val="both"/>
        <w:rPr>
          <w:lang w:val="en-US" w:eastAsia="en-US" w:bidi="ar-SA"/>
        </w:rPr>
      </w:pPr>
      <w:bookmarkStart w:id="29" w:name="Bookmark_para_22"/>
      <w:bookmarkEnd w:id="29"/>
      <w:r>
        <w:rPr>
          <w:rFonts w:ascii="arial" w:eastAsia="arial" w:hAnsi="arial" w:cs="arial"/>
          <w:color w:val="000000"/>
          <w:sz w:val="20"/>
          <w:lang w:val="en-US" w:eastAsia="en-US" w:bidi="ar-SA"/>
        </w:rPr>
        <w:t xml:space="preserve">Plaintiff additionally attempts to invoke New Jersey's "Appleman Rule." Under this Rule, normally, "when an insurance policy uses an exclusion which bars coverage for losses caused by a particular peril, the exclusion applies only if the excluded peril was the 'efficient proximate cause' of the loss." </w:t>
      </w:r>
      <w:hyperlink r:id="rId41" w:history="1">
        <w:r>
          <w:rPr>
            <w:rFonts w:ascii="arial" w:eastAsia="arial" w:hAnsi="arial" w:cs="arial"/>
            <w:i/>
            <w:color w:val="0077CC"/>
            <w:sz w:val="20"/>
            <w:u w:val="single"/>
            <w:shd w:val="clear" w:color="auto" w:fill="FFFFFF"/>
            <w:lang w:val="en-US" w:eastAsia="en-US" w:bidi="ar-SA"/>
          </w:rPr>
          <w:t>Zurich Am. Ins. Co. v. Keating Bldg. Corp.</w:t>
        </w:r>
      </w:hyperlink>
      <w:hyperlink r:id="rId41" w:history="1">
        <w:r>
          <w:rPr>
            <w:rFonts w:ascii="arial" w:eastAsia="arial" w:hAnsi="arial" w:cs="arial"/>
            <w:i/>
            <w:color w:val="0077CC"/>
            <w:sz w:val="20"/>
            <w:u w:val="single"/>
            <w:shd w:val="clear" w:color="auto" w:fill="FFFFFF"/>
            <w:lang w:val="en-US" w:eastAsia="en-US" w:bidi="ar-SA"/>
          </w:rPr>
          <w:t>, 513 F. Supp. 2d 55, 70 (D.N.J. 2007)</w:t>
        </w:r>
      </w:hyperlink>
      <w:r>
        <w:rPr>
          <w:rFonts w:ascii="arial" w:eastAsia="arial" w:hAnsi="arial" w:cs="arial"/>
          <w:color w:val="000000"/>
          <w:sz w:val="20"/>
          <w:lang w:val="en-US" w:eastAsia="en-US" w:bidi="ar-SA"/>
        </w:rPr>
        <w:t xml:space="preserve"> (quoting </w:t>
      </w:r>
      <w:hyperlink r:id="rId42" w:history="1">
        <w:r>
          <w:rPr>
            <w:rFonts w:ascii="arial" w:eastAsia="arial" w:hAnsi="arial" w:cs="arial"/>
            <w:i/>
            <w:color w:val="0077CC"/>
            <w:sz w:val="20"/>
            <w:u w:val="single"/>
            <w:shd w:val="clear" w:color="auto" w:fill="FFFFFF"/>
            <w:lang w:val="en-US" w:eastAsia="en-US" w:bidi="ar-SA"/>
          </w:rPr>
          <w:t>Auto Lenders Acceptance Corp. v. Gentilini Ford, Inc.</w:t>
        </w:r>
      </w:hyperlink>
      <w:hyperlink r:id="rId42" w:history="1">
        <w:r>
          <w:rPr>
            <w:rFonts w:ascii="arial" w:eastAsia="arial" w:hAnsi="arial" w:cs="arial"/>
            <w:i/>
            <w:color w:val="0077CC"/>
            <w:sz w:val="20"/>
            <w:u w:val="single"/>
            <w:shd w:val="clear" w:color="auto" w:fill="FFFFFF"/>
            <w:lang w:val="en-US" w:eastAsia="en-US" w:bidi="ar-SA"/>
          </w:rPr>
          <w:t>, 181 N.J. 245, 854 A.2d 378, 385 (N.J. 2004))</w:t>
        </w:r>
      </w:hyperlink>
      <w:r>
        <w:rPr>
          <w:rFonts w:ascii="arial" w:eastAsia="arial" w:hAnsi="arial" w:cs="arial"/>
          <w:color w:val="000000"/>
          <w:sz w:val="20"/>
          <w:lang w:val="en-US" w:eastAsia="en-US" w:bidi="ar-SA"/>
        </w:rPr>
        <w:t xml:space="preserve">. Thus, an insured is normally afforded coverage where an "included cause of loss is either the first or last step in the chain of causation which leads to the loss." </w:t>
      </w:r>
      <w:hyperlink r:id="rId43" w:history="1">
        <w:r>
          <w:rPr>
            <w:rFonts w:ascii="arial" w:eastAsia="arial" w:hAnsi="arial" w:cs="arial"/>
            <w:i/>
            <w:color w:val="0077CC"/>
            <w:sz w:val="20"/>
            <w:u w:val="single"/>
            <w:shd w:val="clear" w:color="auto" w:fill="FFFFFF"/>
            <w:lang w:val="en-US" w:eastAsia="en-US" w:bidi="ar-SA"/>
          </w:rPr>
          <w:t>Assurance Co. of Am., Inc. v. Jay-Mar, Inc.</w:t>
        </w:r>
      </w:hyperlink>
      <w:hyperlink r:id="rId43" w:history="1">
        <w:r>
          <w:rPr>
            <w:rFonts w:ascii="arial" w:eastAsia="arial" w:hAnsi="arial" w:cs="arial"/>
            <w:i/>
            <w:color w:val="0077CC"/>
            <w:sz w:val="20"/>
            <w:u w:val="single"/>
            <w:shd w:val="clear" w:color="auto" w:fill="FFFFFF"/>
            <w:lang w:val="en-US" w:eastAsia="en-US" w:bidi="ar-SA"/>
          </w:rPr>
          <w:t>, 38 F. Supp. 2d 349, 353 (D.N.J. 1999)</w:t>
        </w:r>
      </w:hyperlink>
      <w:r>
        <w:rPr>
          <w:rFonts w:ascii="arial" w:eastAsia="arial" w:hAnsi="arial" w:cs="arial"/>
          <w:color w:val="000000"/>
          <w:sz w:val="20"/>
          <w:lang w:val="en-US" w:eastAsia="en-US" w:bidi="ar-SA"/>
        </w:rPr>
        <w:t xml:space="preserve"> (citing </w:t>
      </w:r>
      <w:hyperlink r:id="rId44" w:history="1">
        <w:r>
          <w:rPr>
            <w:rFonts w:ascii="arial" w:eastAsia="arial" w:hAnsi="arial" w:cs="arial"/>
            <w:i/>
            <w:color w:val="0077CC"/>
            <w:sz w:val="20"/>
            <w:u w:val="single"/>
            <w:shd w:val="clear" w:color="auto" w:fill="FFFFFF"/>
            <w:lang w:val="en-US" w:eastAsia="en-US" w:bidi="ar-SA"/>
          </w:rPr>
          <w:t>Franklin Packaging Co. v. Cal. Union Ins. Co.</w:t>
        </w:r>
      </w:hyperlink>
      <w:hyperlink r:id="rId44" w:history="1">
        <w:r>
          <w:rPr>
            <w:rFonts w:ascii="arial" w:eastAsia="arial" w:hAnsi="arial" w:cs="arial"/>
            <w:i/>
            <w:color w:val="0077CC"/>
            <w:sz w:val="20"/>
            <w:u w:val="single"/>
            <w:shd w:val="clear" w:color="auto" w:fill="FFFFFF"/>
            <w:lang w:val="en-US" w:eastAsia="en-US" w:bidi="ar-SA"/>
          </w:rPr>
          <w:t>, 171 N.J. Super. 188, 408 A.2d 448, 449 (N.J. Super. Ct. App. Div. 1979))</w:t>
        </w:r>
      </w:hyperlink>
      <w:r>
        <w:rPr>
          <w:rFonts w:ascii="arial" w:eastAsia="arial" w:hAnsi="arial" w:cs="arial"/>
          <w:color w:val="000000"/>
          <w:sz w:val="20"/>
          <w:lang w:val="en-US" w:eastAsia="en-US" w:bidi="ar-SA"/>
        </w:rPr>
        <w:t>. Accordingly, Plaintiff argues that the closure order, not COVID-19, was the proximate cause of its loss of business income. (Opp. at 16.)</w:t>
      </w:r>
    </w:p>
    <w:p>
      <w:pPr>
        <w:keepNext w:val="0"/>
        <w:widowControl w:val="0"/>
        <w:spacing w:before="240" w:after="0" w:line="260" w:lineRule="atLeast"/>
        <w:ind w:left="0" w:right="0" w:firstLine="0"/>
        <w:jc w:val="both"/>
        <w:rPr>
          <w:lang w:val="en-US" w:eastAsia="en-US" w:bidi="ar-SA"/>
        </w:rPr>
      </w:pPr>
      <w:bookmarkStart w:id="30" w:name="Bookmark_para_23"/>
      <w:bookmarkEnd w:id="30"/>
      <w:r>
        <w:rPr>
          <w:rFonts w:ascii="arial" w:eastAsia="arial" w:hAnsi="arial" w:cs="arial"/>
          <w:color w:val="000000"/>
          <w:sz w:val="20"/>
          <w:lang w:val="en-US" w:eastAsia="en-US" w:bidi="ar-SA"/>
        </w:rPr>
        <w:t xml:space="preserve">However, this Court has previously found that, "exclusionary language designed to avoid the 'efficient proximate cause doctrine' is enforceable" under New Jersey law. </w:t>
      </w:r>
      <w:r>
        <w:rPr>
          <w:rFonts w:ascii="arial" w:eastAsia="arial" w:hAnsi="arial" w:cs="arial"/>
          <w:i/>
          <w:color w:val="000000"/>
          <w:sz w:val="20"/>
          <w:lang w:val="en-US" w:eastAsia="en-US" w:bidi="ar-SA"/>
        </w:rPr>
        <w:t xml:space="preserve">See </w:t>
      </w:r>
      <w:hyperlink r:id="rId43" w:history="1">
        <w:r>
          <w:rPr>
            <w:rFonts w:ascii="arial" w:eastAsia="arial" w:hAnsi="arial" w:cs="arial"/>
            <w:i/>
            <w:color w:val="0077CC"/>
            <w:sz w:val="20"/>
            <w:u w:val="single"/>
            <w:shd w:val="clear" w:color="auto" w:fill="FFFFFF"/>
            <w:lang w:val="en-US" w:eastAsia="en-US" w:bidi="ar-SA"/>
          </w:rPr>
          <w:t>Assurance</w:t>
        </w:r>
      </w:hyperlink>
      <w:hyperlink r:id="rId43" w:history="1">
        <w:r>
          <w:rPr>
            <w:rFonts w:ascii="arial" w:eastAsia="arial" w:hAnsi="arial" w:cs="arial"/>
            <w:i/>
            <w:color w:val="0077CC"/>
            <w:sz w:val="20"/>
            <w:u w:val="single"/>
            <w:shd w:val="clear" w:color="auto" w:fill="FFFFFF"/>
            <w:lang w:val="en-US" w:eastAsia="en-US" w:bidi="ar-SA"/>
          </w:rPr>
          <w:t>, 38 F. Supp. 2d at 354</w:t>
        </w:r>
      </w:hyperlink>
      <w:r>
        <w:rPr>
          <w:rFonts w:ascii="arial" w:eastAsia="arial" w:hAnsi="arial" w:cs="arial"/>
          <w:color w:val="000000"/>
          <w:sz w:val="20"/>
          <w:lang w:val="en-US" w:eastAsia="en-US" w:bidi="ar-SA"/>
        </w:rPr>
        <w:t xml:space="preserve">. For example, in </w:t>
      </w:r>
      <w:r>
        <w:rPr>
          <w:rFonts w:ascii="arial" w:eastAsia="arial" w:hAnsi="arial" w:cs="arial"/>
          <w:i/>
          <w:color w:val="000000"/>
          <w:sz w:val="20"/>
          <w:lang w:val="en-US" w:eastAsia="en-US" w:bidi="ar-SA"/>
        </w:rPr>
        <w:t>Assurance</w:t>
      </w:r>
      <w:r>
        <w:rPr>
          <w:rFonts w:ascii="arial" w:eastAsia="arial" w:hAnsi="arial" w:cs="arial"/>
          <w:color w:val="000000"/>
          <w:sz w:val="20"/>
          <w:lang w:val="en-US" w:eastAsia="en-US" w:bidi="ar-SA"/>
        </w:rPr>
        <w:t>, the insured claimed that the damage sustained was caused by an overflow</w:t>
      </w:r>
      <w:r>
        <w:rPr>
          <w:rFonts w:ascii="arial" w:eastAsia="arial" w:hAnsi="arial" w:cs="arial"/>
          <w:b/>
          <w:color w:val="000000"/>
          <w:sz w:val="20"/>
          <w:lang w:val="en-US" w:eastAsia="en-US" w:bidi="ar-SA"/>
        </w:rPr>
        <w:t> [*11] </w:t>
      </w:r>
      <w:r>
        <w:rPr>
          <w:rFonts w:ascii="arial" w:eastAsia="arial" w:hAnsi="arial" w:cs="arial"/>
          <w:color w:val="000000"/>
          <w:sz w:val="20"/>
          <w:lang w:val="en-US" w:eastAsia="en-US" w:bidi="ar-SA"/>
        </w:rPr>
        <w:t xml:space="preserve"> of rainwater from storm sewers, a covered cause of loss, while the insurer asserted that the damage was caused by surface water flooding, an excluded cause of loss. </w:t>
      </w:r>
      <w:hyperlink r:id="rId43" w:history="1">
        <w:r>
          <w:rPr>
            <w:rFonts w:ascii="arial" w:eastAsia="arial" w:hAnsi="arial" w:cs="arial"/>
            <w:i/>
            <w:color w:val="0077CC"/>
            <w:sz w:val="20"/>
            <w:u w:val="single"/>
            <w:shd w:val="clear" w:color="auto" w:fill="FFFFFF"/>
            <w:lang w:val="en-US" w:eastAsia="en-US" w:bidi="ar-SA"/>
          </w:rPr>
          <w:t>Id.</w:t>
        </w:r>
      </w:hyperlink>
      <w:hyperlink r:id="rId43" w:history="1">
        <w:r>
          <w:rPr>
            <w:rFonts w:ascii="arial" w:eastAsia="arial" w:hAnsi="arial" w:cs="arial"/>
            <w:i/>
            <w:color w:val="0077CC"/>
            <w:sz w:val="20"/>
            <w:u w:val="single"/>
            <w:shd w:val="clear" w:color="auto" w:fill="FFFFFF"/>
            <w:lang w:val="en-US" w:eastAsia="en-US" w:bidi="ar-SA"/>
          </w:rPr>
          <w:t xml:space="preserve"> at 351</w:t>
        </w:r>
      </w:hyperlink>
      <w:r>
        <w:rPr>
          <w:rFonts w:ascii="arial" w:eastAsia="arial" w:hAnsi="arial" w:cs="arial"/>
          <w:color w:val="000000"/>
          <w:sz w:val="20"/>
          <w:lang w:val="en-US" w:eastAsia="en-US" w:bidi="ar-SA"/>
        </w:rPr>
        <w:t xml:space="preserve">. There, the policy contained a clause stating "[w]e will not pay for loss or damage caused directly or indirectly by any of the following. Such loss or damage is excluded regardless of any other cause or event that contributes concurrently or in any sequence to the loss." </w:t>
      </w:r>
      <w:hyperlink r:id="rId43" w:history="1">
        <w:r>
          <w:rPr>
            <w:rFonts w:ascii="arial" w:eastAsia="arial" w:hAnsi="arial" w:cs="arial"/>
            <w:i/>
            <w:color w:val="0077CC"/>
            <w:sz w:val="20"/>
            <w:u w:val="single"/>
            <w:shd w:val="clear" w:color="auto" w:fill="FFFFFF"/>
            <w:lang w:val="en-US" w:eastAsia="en-US" w:bidi="ar-SA"/>
          </w:rPr>
          <w:t>Id.</w:t>
        </w:r>
      </w:hyperlink>
      <w:hyperlink r:id="rId43" w:history="1">
        <w:r>
          <w:rPr>
            <w:rFonts w:ascii="arial" w:eastAsia="arial" w:hAnsi="arial" w:cs="arial"/>
            <w:i/>
            <w:color w:val="0077CC"/>
            <w:sz w:val="20"/>
            <w:u w:val="single"/>
            <w:shd w:val="clear" w:color="auto" w:fill="FFFFFF"/>
            <w:lang w:val="en-US" w:eastAsia="en-US" w:bidi="ar-SA"/>
          </w:rPr>
          <w:t xml:space="preserve"> at 352</w:t>
        </w:r>
      </w:hyperlink>
      <w:r>
        <w:rPr>
          <w:rFonts w:ascii="arial" w:eastAsia="arial" w:hAnsi="arial" w:cs="arial"/>
          <w:color w:val="000000"/>
          <w:sz w:val="20"/>
          <w:lang w:val="en-US" w:eastAsia="en-US" w:bidi="ar-SA"/>
        </w:rPr>
        <w:t xml:space="preserve">. Therefore, although the first in the sequence of events was a covered loss, the court found that the insured was unable to recover because the contract specifically provided that there would "be no coverage for loss due to sequential causes even where the first or the last cause is an included cause of loss." </w:t>
      </w:r>
      <w:hyperlink r:id="rId43" w:history="1">
        <w:r>
          <w:rPr>
            <w:rFonts w:ascii="arial" w:eastAsia="arial" w:hAnsi="arial" w:cs="arial"/>
            <w:i/>
            <w:color w:val="0077CC"/>
            <w:sz w:val="20"/>
            <w:u w:val="single"/>
            <w:shd w:val="clear" w:color="auto" w:fill="FFFFFF"/>
            <w:lang w:val="en-US" w:eastAsia="en-US" w:bidi="ar-SA"/>
          </w:rPr>
          <w:t>Id.</w:t>
        </w:r>
      </w:hyperlink>
      <w:hyperlink r:id="rId43" w:history="1">
        <w:r>
          <w:rPr>
            <w:rFonts w:ascii="arial" w:eastAsia="arial" w:hAnsi="arial" w:cs="arial"/>
            <w:i/>
            <w:color w:val="0077CC"/>
            <w:sz w:val="20"/>
            <w:u w:val="single"/>
            <w:shd w:val="clear" w:color="auto" w:fill="FFFFFF"/>
            <w:lang w:val="en-US" w:eastAsia="en-US" w:bidi="ar-SA"/>
          </w:rPr>
          <w:t xml:space="preserve"> at 354</w:t>
        </w:r>
      </w:hyperlink>
      <w:r>
        <w:rPr>
          <w:rFonts w:ascii="arial" w:eastAsia="arial" w:hAnsi="arial" w:cs="arial"/>
          <w:color w:val="000000"/>
          <w:sz w:val="20"/>
          <w:lang w:val="en-US" w:eastAsia="en-US" w:bidi="ar-SA"/>
        </w:rPr>
        <w:t>.</w:t>
      </w:r>
    </w:p>
    <w:p>
      <w:pPr>
        <w:keepNext w:val="0"/>
        <w:widowControl w:val="0"/>
        <w:spacing w:before="240" w:after="0" w:line="260" w:lineRule="atLeast"/>
        <w:ind w:left="0" w:right="0" w:firstLine="0"/>
        <w:jc w:val="both"/>
        <w:rPr>
          <w:lang w:val="en-US" w:eastAsia="en-US" w:bidi="ar-SA"/>
        </w:rPr>
      </w:pPr>
      <w:bookmarkStart w:id="31" w:name="Bookmark_para_24"/>
      <w:bookmarkEnd w:id="31"/>
      <w:r>
        <w:rPr>
          <w:rFonts w:ascii="arial" w:eastAsia="arial" w:hAnsi="arial" w:cs="arial"/>
          <w:color w:val="000000"/>
          <w:sz w:val="20"/>
          <w:lang w:val="en-US" w:eastAsia="en-US" w:bidi="ar-SA"/>
        </w:rPr>
        <w:t>Similarly, the plain language of the Virus Exclusion here indicates that the Policy was drafted to eliminate the efficient proximate cause doctrine. The Policy does not provide coverage for losses caused directly or indirectly by a virus, regardless of any other cause or event that contributes concurrently or in any sequence to the loss. (Policy at 17, 20.) This language demonstrates the parties' intent to contract around the efficient proximate cause doctrine,</w:t>
      </w:r>
      <w:r>
        <w:rPr>
          <w:rFonts w:ascii="arial" w:eastAsia="arial" w:hAnsi="arial" w:cs="arial"/>
          <w:b/>
          <w:color w:val="000000"/>
          <w:sz w:val="20"/>
          <w:lang w:val="en-US" w:eastAsia="en-US" w:bidi="ar-SA"/>
        </w:rPr>
        <w:t> [*12] </w:t>
      </w:r>
      <w:r>
        <w:rPr>
          <w:rFonts w:ascii="arial" w:eastAsia="arial" w:hAnsi="arial" w:cs="arial"/>
          <w:color w:val="000000"/>
          <w:sz w:val="20"/>
          <w:lang w:val="en-US" w:eastAsia="en-US" w:bidi="ar-SA"/>
        </w:rPr>
        <w:t xml:space="preserve"> language which courts have held is enforceable. </w:t>
      </w:r>
      <w:r>
        <w:rPr>
          <w:rFonts w:ascii="arial" w:eastAsia="arial" w:hAnsi="arial" w:cs="arial"/>
          <w:i/>
          <w:color w:val="000000"/>
          <w:sz w:val="20"/>
          <w:lang w:val="en-US" w:eastAsia="en-US" w:bidi="ar-SA"/>
        </w:rPr>
        <w:t xml:space="preserve">See </w:t>
      </w:r>
      <w:hyperlink r:id="rId43" w:history="1">
        <w:r>
          <w:rPr>
            <w:rFonts w:ascii="arial" w:eastAsia="arial" w:hAnsi="arial" w:cs="arial"/>
            <w:i/>
            <w:color w:val="0077CC"/>
            <w:sz w:val="20"/>
            <w:u w:val="single"/>
            <w:shd w:val="clear" w:color="auto" w:fill="FFFFFF"/>
            <w:lang w:val="en-US" w:eastAsia="en-US" w:bidi="ar-SA"/>
          </w:rPr>
          <w:t>Assurance</w:t>
        </w:r>
      </w:hyperlink>
      <w:hyperlink r:id="rId43" w:history="1">
        <w:r>
          <w:rPr>
            <w:rFonts w:ascii="arial" w:eastAsia="arial" w:hAnsi="arial" w:cs="arial"/>
            <w:i/>
            <w:color w:val="0077CC"/>
            <w:sz w:val="20"/>
            <w:u w:val="single"/>
            <w:shd w:val="clear" w:color="auto" w:fill="FFFFFF"/>
            <w:lang w:val="en-US" w:eastAsia="en-US" w:bidi="ar-SA"/>
          </w:rPr>
          <w:t>, 38 F. Supp. 2d at 354</w:t>
        </w:r>
      </w:hyperlink>
      <w:r>
        <w:rPr>
          <w:rFonts w:ascii="arial" w:eastAsia="arial" w:hAnsi="arial" w:cs="arial"/>
          <w:color w:val="000000"/>
          <w:sz w:val="20"/>
          <w:lang w:val="en-US" w:eastAsia="en-US" w:bidi="ar-SA"/>
        </w:rPr>
        <w:t>. Thus, Plaintiff's Appleman argument is unpersuasive.</w:t>
      </w:r>
    </w:p>
    <w:p>
      <w:pPr>
        <w:keepNext w:val="0"/>
        <w:widowControl w:val="0"/>
        <w:spacing w:before="240" w:after="0" w:line="260" w:lineRule="atLeast"/>
        <w:ind w:left="0" w:right="0" w:firstLine="0"/>
        <w:jc w:val="both"/>
        <w:rPr>
          <w:lang w:val="en-US" w:eastAsia="en-US" w:bidi="ar-SA"/>
        </w:rPr>
      </w:pPr>
      <w:bookmarkStart w:id="32" w:name="Bookmark_para_25"/>
      <w:bookmarkEnd w:id="32"/>
      <w:r>
        <w:rPr>
          <w:rFonts w:ascii="arial" w:eastAsia="arial" w:hAnsi="arial" w:cs="arial"/>
          <w:color w:val="000000"/>
          <w:sz w:val="20"/>
          <w:lang w:val="en-US" w:eastAsia="en-US" w:bidi="ar-SA"/>
        </w:rPr>
        <w:t xml:space="preserve">Moreover, a survey of the case law on this issue reveals that federal courts interpreting virtually identical "Virus Exclusions" have nearly unanimously determined that these exclusions bar coverage of similar claims. </w:t>
      </w:r>
      <w:r>
        <w:rPr>
          <w:rFonts w:ascii="arial" w:eastAsia="arial" w:hAnsi="arial" w:cs="arial"/>
          <w:i/>
          <w:color w:val="000000"/>
          <w:sz w:val="20"/>
          <w:lang w:val="en-US" w:eastAsia="en-US" w:bidi="ar-SA"/>
        </w:rPr>
        <w:t xml:space="preserve">See, e.g., </w:t>
      </w:r>
      <w:hyperlink r:id="rId45" w:history="1">
        <w:r>
          <w:rPr>
            <w:rFonts w:ascii="arial" w:eastAsia="arial" w:hAnsi="arial" w:cs="arial"/>
            <w:i/>
            <w:color w:val="0077CC"/>
            <w:sz w:val="20"/>
            <w:u w:val="single"/>
            <w:shd w:val="clear" w:color="auto" w:fill="FFFFFF"/>
            <w:lang w:val="en-US" w:eastAsia="en-US" w:bidi="ar-SA"/>
          </w:rPr>
          <w:t>Wilson v. Hartford Casualty Co.</w:t>
        </w:r>
      </w:hyperlink>
      <w:hyperlink r:id="rId45" w:history="1">
        <w:r>
          <w:rPr>
            <w:rFonts w:ascii="arial" w:eastAsia="arial" w:hAnsi="arial" w:cs="arial"/>
            <w:i/>
            <w:color w:val="0077CC"/>
            <w:sz w:val="20"/>
            <w:u w:val="single"/>
            <w:shd w:val="clear" w:color="auto" w:fill="FFFFFF"/>
            <w:lang w:val="en-US" w:eastAsia="en-US" w:bidi="ar-SA"/>
          </w:rPr>
          <w:t>, No. 20-3384, 2020 U.S. Dist. LEXIS 179896, 2020 WL 5820800, at *7 (E.D. Pa. Sept. 30, 2020)</w:t>
        </w:r>
      </w:hyperlink>
      <w:r>
        <w:rPr>
          <w:rFonts w:ascii="arial" w:eastAsia="arial" w:hAnsi="arial" w:cs="arial"/>
          <w:color w:val="000000"/>
          <w:sz w:val="20"/>
          <w:lang w:val="en-US" w:eastAsia="en-US" w:bidi="ar-SA"/>
        </w:rPr>
        <w:t xml:space="preserve"> (holding that coverage was barred by a Virus Exclusion that stated that insurer "will not pay for loss or damage caused directly or indirectly by . . . virus . . . regardless of any other cause or event that contributes concurrently or in any sequence to the loss[.]"); </w:t>
      </w:r>
      <w:hyperlink r:id="rId46" w:history="1">
        <w:r>
          <w:rPr>
            <w:rFonts w:ascii="arial" w:eastAsia="arial" w:hAnsi="arial" w:cs="arial"/>
            <w:i/>
            <w:color w:val="0077CC"/>
            <w:sz w:val="20"/>
            <w:u w:val="single"/>
            <w:shd w:val="clear" w:color="auto" w:fill="FFFFFF"/>
            <w:lang w:val="en-US" w:eastAsia="en-US" w:bidi="ar-SA"/>
          </w:rPr>
          <w:t>Diesel Barbershop, LLC v. State Farm Lloyds</w:t>
        </w:r>
      </w:hyperlink>
      <w:hyperlink r:id="rId46" w:history="1">
        <w:r>
          <w:rPr>
            <w:rFonts w:ascii="arial" w:eastAsia="arial" w:hAnsi="arial" w:cs="arial"/>
            <w:i/>
            <w:color w:val="0077CC"/>
            <w:sz w:val="20"/>
            <w:u w:val="single"/>
            <w:shd w:val="clear" w:color="auto" w:fill="FFFFFF"/>
            <w:lang w:val="en-US" w:eastAsia="en-US" w:bidi="ar-SA"/>
          </w:rPr>
          <w:t>, 20-CV-461, 2020 U.S. Dist. LEXIS 147276, 2020 WL 4724305, at *6 (W.D. Tex. Aug. 13, 2020)</w:t>
        </w:r>
      </w:hyperlink>
      <w:r>
        <w:rPr>
          <w:rFonts w:ascii="arial" w:eastAsia="arial" w:hAnsi="arial" w:cs="arial"/>
          <w:color w:val="000000"/>
          <w:sz w:val="20"/>
          <w:lang w:val="en-US" w:eastAsia="en-US" w:bidi="ar-SA"/>
        </w:rPr>
        <w:t xml:space="preserve"> (holding that coverage was barred by Virus Exclusion stating that insurer "does not insure for a loss regardless of 'whether other causes acted concurrently or in any sequence within the excluded event to produce the loss'" and finding that "it was the presence of COVID-19 in . . . Texas that was the primary root cause of Plaintiffs' business temporarily closing."); </w:t>
      </w:r>
      <w:hyperlink r:id="rId47" w:history="1">
        <w:r>
          <w:rPr>
            <w:rFonts w:ascii="arial" w:eastAsia="arial" w:hAnsi="arial" w:cs="arial"/>
            <w:i/>
            <w:color w:val="0077CC"/>
            <w:sz w:val="20"/>
            <w:u w:val="single"/>
            <w:shd w:val="clear" w:color="auto" w:fill="FFFFFF"/>
            <w:lang w:val="en-US" w:eastAsia="en-US" w:bidi="ar-SA"/>
          </w:rPr>
          <w:t>Mauricio Martinez, DMD, P.A. v. Allied Ins. Co. of Am.</w:t>
        </w:r>
      </w:hyperlink>
      <w:hyperlink r:id="rId47" w:history="1">
        <w:r>
          <w:rPr>
            <w:rFonts w:ascii="arial" w:eastAsia="arial" w:hAnsi="arial" w:cs="arial"/>
            <w:i/>
            <w:color w:val="0077CC"/>
            <w:sz w:val="20"/>
            <w:u w:val="single"/>
            <w:shd w:val="clear" w:color="auto" w:fill="FFFFFF"/>
            <w:lang w:val="en-US" w:eastAsia="en-US" w:bidi="ar-SA"/>
          </w:rPr>
          <w:t>, 20-cv-00401, 2020 U.S. Dist. LEXIS 165140, 2020 WL 5240218, at *2 (M.D. Fla. Sept. 2, 2020)</w:t>
        </w:r>
      </w:hyperlink>
      <w:r>
        <w:rPr>
          <w:rFonts w:ascii="arial" w:eastAsia="arial" w:hAnsi="arial" w:cs="arial"/>
          <w:color w:val="000000"/>
          <w:sz w:val="20"/>
          <w:lang w:val="en-US" w:eastAsia="en-US" w:bidi="ar-SA"/>
        </w:rPr>
        <w:t xml:space="preserve"> (finding that coverage was barred by Virus Exclusion excluding coverage</w:t>
      </w:r>
      <w:r>
        <w:rPr>
          <w:rFonts w:ascii="arial" w:eastAsia="arial" w:hAnsi="arial" w:cs="arial"/>
          <w:b/>
          <w:color w:val="000000"/>
          <w:sz w:val="20"/>
          <w:lang w:val="en-US" w:eastAsia="en-US" w:bidi="ar-SA"/>
        </w:rPr>
        <w:t> [*13] </w:t>
      </w:r>
      <w:r>
        <w:rPr>
          <w:rFonts w:ascii="arial" w:eastAsia="arial" w:hAnsi="arial" w:cs="arial"/>
          <w:color w:val="000000"/>
          <w:sz w:val="20"/>
          <w:lang w:val="en-US" w:eastAsia="en-US" w:bidi="ar-SA"/>
        </w:rPr>
        <w:t xml:space="preserve"> for "[a]ny virus, bacterium or other microorganism that induces or is capable of inducing physical distress[.]"); </w:t>
      </w:r>
      <w:hyperlink r:id="rId48" w:history="1">
        <w:r>
          <w:rPr>
            <w:rFonts w:ascii="arial" w:eastAsia="arial" w:hAnsi="arial" w:cs="arial"/>
            <w:i/>
            <w:color w:val="0077CC"/>
            <w:sz w:val="20"/>
            <w:u w:val="single"/>
            <w:shd w:val="clear" w:color="auto" w:fill="FFFFFF"/>
            <w:lang w:val="en-US" w:eastAsia="en-US" w:bidi="ar-SA"/>
          </w:rPr>
          <w:t>Franklin EWC, Inc. v. Hartford Financial Servs. Grp., Inc.</w:t>
        </w:r>
      </w:hyperlink>
      <w:hyperlink r:id="rId48" w:history="1">
        <w:r>
          <w:rPr>
            <w:rFonts w:ascii="arial" w:eastAsia="arial" w:hAnsi="arial" w:cs="arial"/>
            <w:i/>
            <w:color w:val="0077CC"/>
            <w:sz w:val="20"/>
            <w:u w:val="single"/>
            <w:shd w:val="clear" w:color="auto" w:fill="FFFFFF"/>
            <w:lang w:val="en-US" w:eastAsia="en-US" w:bidi="ar-SA"/>
          </w:rPr>
          <w:t>, 20-cv-04434, 2020 U.S. Dist. LEXIS 174010, 2020 WL 5642483, at *2 (N.D. Cal. Sept. 22, 2020)</w:t>
        </w:r>
      </w:hyperlink>
      <w:r>
        <w:rPr>
          <w:rFonts w:ascii="arial" w:eastAsia="arial" w:hAnsi="arial" w:cs="arial"/>
          <w:color w:val="000000"/>
          <w:sz w:val="20"/>
          <w:lang w:val="en-US" w:eastAsia="en-US" w:bidi="ar-SA"/>
        </w:rPr>
        <w:t xml:space="preserve"> (holding that coverage was barred by Virus Exclusion stating that "[w]e will not pay for loss or damage caused directly or indirectly by [virus]. Such loss or damage is excluded regardless of any other cause or event that contributes concurrently or in any sequence to the loss[.]"); </w:t>
      </w:r>
      <w:hyperlink r:id="rId49" w:history="1">
        <w:r>
          <w:rPr>
            <w:rFonts w:ascii="arial" w:eastAsia="arial" w:hAnsi="arial" w:cs="arial"/>
            <w:i/>
            <w:color w:val="0077CC"/>
            <w:sz w:val="20"/>
            <w:u w:val="single"/>
            <w:shd w:val="clear" w:color="auto" w:fill="FFFFFF"/>
            <w:lang w:val="en-US" w:eastAsia="en-US" w:bidi="ar-SA"/>
          </w:rPr>
          <w:t>Mark's Engine Co. No. 28 Restaurant, LLC v. Travelers Indemnity Co. of Connecticut</w:t>
        </w:r>
      </w:hyperlink>
      <w:hyperlink r:id="rId49" w:history="1">
        <w:r>
          <w:rPr>
            <w:rFonts w:ascii="arial" w:eastAsia="arial" w:hAnsi="arial" w:cs="arial"/>
            <w:i/>
            <w:color w:val="0077CC"/>
            <w:sz w:val="20"/>
            <w:u w:val="single"/>
            <w:shd w:val="clear" w:color="auto" w:fill="FFFFFF"/>
            <w:lang w:val="en-US" w:eastAsia="en-US" w:bidi="ar-SA"/>
          </w:rPr>
          <w:t>, No. 20-cv-04423, 2020 U.S. Dist. LEXIS 188463, 2020 WL 5938691, at *5 (C.D. Cal. Oct. 2, 2020)</w:t>
        </w:r>
      </w:hyperlink>
      <w:r>
        <w:rPr>
          <w:rFonts w:ascii="arial" w:eastAsia="arial" w:hAnsi="arial" w:cs="arial"/>
          <w:color w:val="000000"/>
          <w:sz w:val="20"/>
          <w:lang w:val="en-US" w:eastAsia="en-US" w:bidi="ar-SA"/>
        </w:rPr>
        <w:t xml:space="preserve"> (same).</w:t>
      </w:r>
    </w:p>
    <w:p>
      <w:pPr>
        <w:keepNext w:val="0"/>
        <w:widowControl w:val="0"/>
        <w:spacing w:before="200" w:after="0" w:line="260" w:lineRule="atLeast"/>
        <w:ind w:left="0" w:right="0" w:firstLine="0"/>
        <w:jc w:val="both"/>
        <w:rPr>
          <w:lang w:val="en-US" w:eastAsia="en-US" w:bidi="ar-SA"/>
        </w:rPr>
      </w:pPr>
      <w:bookmarkStart w:id="33" w:name="Bookmark_para_26"/>
      <w:bookmarkEnd w:id="33"/>
      <w:r>
        <w:rPr>
          <w:rFonts w:ascii="arial" w:eastAsia="arial" w:hAnsi="arial" w:cs="arial"/>
          <w:color w:val="000000"/>
          <w:sz w:val="20"/>
          <w:lang w:val="en-US" w:eastAsia="en-US" w:bidi="ar-SA"/>
        </w:rPr>
        <w:t xml:space="preserve">The Court is only aware of one opinion in which a federal court did not find, at the motion to dismiss phase, that the Virus Exclusion barred coverage. In </w:t>
      </w:r>
      <w:r>
        <w:rPr>
          <w:rFonts w:ascii="arial" w:eastAsia="arial" w:hAnsi="arial" w:cs="arial"/>
          <w:i/>
          <w:color w:val="000000"/>
          <w:sz w:val="20"/>
          <w:lang w:val="en-US" w:eastAsia="en-US" w:bidi="ar-SA"/>
        </w:rPr>
        <w:t>Urogynecology Specialist of Florida LLC v. Sentinel Insurance Company</w:t>
      </w:r>
      <w:r>
        <w:rPr>
          <w:rFonts w:ascii="arial" w:eastAsia="arial" w:hAnsi="arial" w:cs="arial"/>
          <w:color w:val="000000"/>
          <w:sz w:val="20"/>
          <w:lang w:val="en-US" w:eastAsia="en-US" w:bidi="ar-SA"/>
        </w:rPr>
        <w:t xml:space="preserve">, the court found that "ambiguous aspects of the Policy ma[d]e determination of coverage inappropriate at this stage." </w:t>
      </w:r>
      <w:hyperlink r:id="rId50" w:history="1">
        <w:r>
          <w:rPr>
            <w:rFonts w:ascii="arial" w:eastAsia="arial" w:hAnsi="arial" w:cs="arial"/>
            <w:i/>
            <w:color w:val="0077CC"/>
            <w:sz w:val="20"/>
            <w:u w:val="single"/>
            <w:shd w:val="clear" w:color="auto" w:fill="FFFFFF"/>
            <w:lang w:val="en-US" w:eastAsia="en-US" w:bidi="ar-SA"/>
          </w:rPr>
          <w:t>20-cv-1174, 2020 U.S. Dist. LEXIS 184774, 2020 WL 5939172, at *4 (M.D. Fla. Sept. 24, 2020)</w:t>
        </w:r>
      </w:hyperlink>
      <w:r>
        <w:rPr>
          <w:rFonts w:ascii="arial" w:eastAsia="arial" w:hAnsi="arial" w:cs="arial"/>
          <w:color w:val="000000"/>
          <w:sz w:val="20"/>
          <w:lang w:val="en-US" w:eastAsia="en-US" w:bidi="ar-SA"/>
        </w:rPr>
        <w:t xml:space="preserve">. However, that policy and its exclusions referenced several other documents that were unattached to the insurance policy and were unavailable to the court.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Accordingly, the court found that "[w]ithout the corresponding forms which [we]re modified by the exclusions,</w:t>
      </w:r>
      <w:r>
        <w:rPr>
          <w:rFonts w:ascii="arial" w:eastAsia="arial" w:hAnsi="arial" w:cs="arial"/>
          <w:b/>
          <w:color w:val="000000"/>
          <w:sz w:val="20"/>
          <w:lang w:val="en-US" w:eastAsia="en-US" w:bidi="ar-SA"/>
        </w:rPr>
        <w:t> [*14] </w:t>
      </w:r>
      <w:r>
        <w:rPr>
          <w:rFonts w:ascii="arial" w:eastAsia="arial" w:hAnsi="arial" w:cs="arial"/>
          <w:color w:val="000000"/>
          <w:sz w:val="20"/>
          <w:lang w:val="en-US" w:eastAsia="en-US" w:bidi="ar-SA"/>
        </w:rPr>
        <w:t xml:space="preserve"> [it would] not make a decision on the merits of the plain language of the Policy to determine whether Plaintiff's losses were covered." </w:t>
      </w:r>
      <w:r>
        <w:rPr>
          <w:rFonts w:ascii="arial" w:eastAsia="arial" w:hAnsi="arial" w:cs="arial"/>
          <w:i/>
          <w:color w:val="000000"/>
          <w:sz w:val="20"/>
          <w:lang w:val="en-US" w:eastAsia="en-US" w:bidi="ar-SA"/>
        </w:rPr>
        <w:t>Id.</w:t>
      </w:r>
      <w:r>
        <w:rPr>
          <w:rFonts w:ascii="arial" w:eastAsia="arial" w:hAnsi="arial" w:cs="arial"/>
          <w:color w:val="000000"/>
          <w:sz w:val="20"/>
          <w:lang w:val="en-US" w:eastAsia="en-US" w:bidi="ar-SA"/>
        </w:rPr>
        <w:t xml:space="preserve"> That is not the case here. Rather, the Court has all relevant Policy documents, and neither party argues otherwise.</w:t>
      </w:r>
    </w:p>
    <w:p>
      <w:pPr>
        <w:keepNext w:val="0"/>
        <w:widowControl w:val="0"/>
        <w:spacing w:before="200" w:after="0" w:line="260" w:lineRule="atLeast"/>
        <w:ind w:left="0" w:right="0" w:firstLine="0"/>
        <w:jc w:val="both"/>
        <w:rPr>
          <w:lang w:val="en-US" w:eastAsia="en-US" w:bidi="ar-SA"/>
        </w:rPr>
      </w:pPr>
      <w:bookmarkStart w:id="34" w:name="Bookmark_para_27"/>
      <w:bookmarkEnd w:id="34"/>
      <w:r>
        <w:rPr>
          <w:rFonts w:ascii="arial" w:eastAsia="arial" w:hAnsi="arial" w:cs="arial"/>
          <w:color w:val="000000"/>
          <w:sz w:val="20"/>
          <w:lang w:val="en-US" w:eastAsia="en-US" w:bidi="ar-SA"/>
        </w:rPr>
        <w:t>Accordingly, based on the Court's independent evaluation of the Policy's Virus Exclusion and the wealth of well-reasoned opinions from other districts holding similarly, the Court finds that the Virus Exceptions bars coverage.</w:t>
      </w:r>
    </w:p>
    <w:p>
      <w:pPr>
        <w:keepNext w:val="0"/>
        <w:widowControl w:val="0"/>
        <w:spacing w:before="240" w:after="0" w:line="260" w:lineRule="atLeast"/>
        <w:ind w:left="0" w:right="0" w:firstLine="0"/>
        <w:jc w:val="left"/>
        <w:rPr>
          <w:lang w:val="en-US" w:eastAsia="en-US" w:bidi="ar-SA"/>
        </w:rPr>
      </w:pPr>
      <w:r>
        <w:rPr>
          <w:lang w:val="en-US" w:eastAsia="en-US" w:bidi="ar-SA"/>
        </w:rPr>
        <w:br/>
      </w:r>
      <w:r>
        <w:rPr>
          <w:rFonts w:ascii="arial" w:eastAsia="arial" w:hAnsi="arial" w:cs="arial"/>
          <w:b/>
          <w:color w:val="000000"/>
          <w:sz w:val="20"/>
          <w:lang w:val="en-US" w:eastAsia="en-US" w:bidi="ar-SA"/>
        </w:rPr>
        <w:t>B. Plaintiff States No Claims for Relief</w:t>
      </w:r>
    </w:p>
    <w:p>
      <w:pPr>
        <w:keepNext w:val="0"/>
        <w:widowControl w:val="0"/>
        <w:spacing w:before="200" w:after="0" w:line="260" w:lineRule="atLeast"/>
        <w:ind w:left="0" w:right="0" w:firstLine="0"/>
        <w:jc w:val="both"/>
        <w:rPr>
          <w:lang w:val="en-US" w:eastAsia="en-US" w:bidi="ar-SA"/>
        </w:rPr>
      </w:pPr>
      <w:bookmarkStart w:id="35" w:name="Bookmark_para_28"/>
      <w:bookmarkEnd w:id="35"/>
      <w:r>
        <w:rPr>
          <w:rFonts w:ascii="arial" w:eastAsia="arial" w:hAnsi="arial" w:cs="arial"/>
          <w:color w:val="000000"/>
          <w:sz w:val="20"/>
          <w:lang w:val="en-US" w:eastAsia="en-US" w:bidi="ar-SA"/>
        </w:rPr>
        <w:t xml:space="preserve">Because the Virus Exclusion bars coverage, Plaintiff is not entitled to coverage under the Business Income, Extra Expense, or Civil Authority provisions. Plaintiff's causes of actions seeking declaratory relief thus fail because Plaintiff has failed to provide a cognizable legal theory or set of facts about the Policy that would allow the Court to provide declaratory relief. </w:t>
      </w:r>
      <w:r>
        <w:rPr>
          <w:rFonts w:ascii="arial" w:eastAsia="arial" w:hAnsi="arial" w:cs="arial"/>
          <w:i/>
          <w:color w:val="000000"/>
          <w:sz w:val="20"/>
          <w:lang w:val="en-US" w:eastAsia="en-US" w:bidi="ar-SA"/>
        </w:rPr>
        <w:t xml:space="preserve">See </w:t>
      </w:r>
      <w:hyperlink r:id="rId51" w:history="1">
        <w:r>
          <w:rPr>
            <w:rFonts w:ascii="arial" w:eastAsia="arial" w:hAnsi="arial" w:cs="arial"/>
            <w:i/>
            <w:color w:val="0077CC"/>
            <w:sz w:val="20"/>
            <w:u w:val="single"/>
            <w:shd w:val="clear" w:color="auto" w:fill="FFFFFF"/>
            <w:lang w:val="en-US" w:eastAsia="en-US" w:bidi="ar-SA"/>
          </w:rPr>
          <w:t>Maryland Casualty Co. v. Pacific Coal &amp; Oil Co.</w:t>
        </w:r>
      </w:hyperlink>
      <w:hyperlink r:id="rId51" w:history="1">
        <w:r>
          <w:rPr>
            <w:rFonts w:ascii="arial" w:eastAsia="arial" w:hAnsi="arial" w:cs="arial"/>
            <w:i/>
            <w:color w:val="0077CC"/>
            <w:sz w:val="20"/>
            <w:u w:val="single"/>
            <w:shd w:val="clear" w:color="auto" w:fill="FFFFFF"/>
            <w:lang w:val="en-US" w:eastAsia="en-US" w:bidi="ar-SA"/>
          </w:rPr>
          <w:t>, 312 U.S. 270, 272, 61 S. Ct. 510, 85 L. Ed. 826 (1941)</w:t>
        </w:r>
      </w:hyperlink>
      <w:r>
        <w:rPr>
          <w:rFonts w:ascii="arial" w:eastAsia="arial" w:hAnsi="arial" w:cs="arial"/>
          <w:color w:val="000000"/>
          <w:sz w:val="20"/>
          <w:lang w:val="en-US" w:eastAsia="en-US" w:bidi="ar-SA"/>
        </w:rPr>
        <w:t xml:space="preserve"> ("the District Court is without power to grant declaratory relief unless such a controversy exists[.]"). Plaintiff's causes of action for breach of contract also fail. Defendant did not withhold benefits due because coverage was excluded under the Virus Exclusion. Absent an actual withholding of</w:t>
      </w:r>
      <w:r>
        <w:rPr>
          <w:rFonts w:ascii="arial" w:eastAsia="arial" w:hAnsi="arial" w:cs="arial"/>
          <w:b/>
          <w:color w:val="000000"/>
          <w:sz w:val="20"/>
          <w:lang w:val="en-US" w:eastAsia="en-US" w:bidi="ar-SA"/>
        </w:rPr>
        <w:t> [*15] </w:t>
      </w:r>
      <w:r>
        <w:rPr>
          <w:rFonts w:ascii="arial" w:eastAsia="arial" w:hAnsi="arial" w:cs="arial"/>
          <w:color w:val="000000"/>
          <w:sz w:val="20"/>
          <w:lang w:val="en-US" w:eastAsia="en-US" w:bidi="ar-SA"/>
        </w:rPr>
        <w:t xml:space="preserve"> benefits due, there is no breach of contract.</w:t>
      </w:r>
    </w:p>
    <w:p>
      <w:pPr>
        <w:keepNext w:val="0"/>
        <w:widowControl w:val="0"/>
        <w:spacing w:before="200" w:after="0" w:line="260" w:lineRule="atLeast"/>
        <w:ind w:left="0" w:right="0" w:firstLine="0"/>
        <w:jc w:val="both"/>
        <w:rPr>
          <w:lang w:val="en-US" w:eastAsia="en-US" w:bidi="ar-SA"/>
        </w:rPr>
      </w:pPr>
      <w:bookmarkStart w:id="36" w:name="Bookmark_para_29"/>
      <w:bookmarkEnd w:id="36"/>
      <w:r>
        <w:rPr>
          <w:rFonts w:ascii="arial" w:eastAsia="arial" w:hAnsi="arial" w:cs="arial"/>
          <w:color w:val="000000"/>
          <w:sz w:val="20"/>
          <w:lang w:val="en-US" w:eastAsia="en-US" w:bidi="ar-SA"/>
        </w:rPr>
        <w:t xml:space="preserve">While there is no doubt that the COVID-19 pandemic severely affected Plaintiff's restaurant, Defendant cannot be liable to provide coverage when the Virus Exclusion plainly bars Plaintiff's claim. Given the plain language of the insurance contract between the parties, the Court cannot deviate from this finding without in effect re-writing the Policy. Therefore, the Motion to Dismiss is </w:t>
      </w:r>
      <w:r>
        <w:rPr>
          <w:rFonts w:ascii="arial" w:eastAsia="arial" w:hAnsi="arial" w:cs="arial"/>
          <w:b/>
          <w:color w:val="000000"/>
          <w:sz w:val="20"/>
          <w:lang w:val="en-US" w:eastAsia="en-US" w:bidi="ar-SA"/>
        </w:rPr>
        <w:t>GRANTED</w:t>
      </w:r>
      <w:r>
        <w:rPr>
          <w:rFonts w:ascii="arial" w:eastAsia="arial" w:hAnsi="arial" w:cs="arial"/>
          <w:color w:val="000000"/>
          <w:sz w:val="20"/>
          <w:lang w:val="en-US" w:eastAsia="en-US" w:bidi="ar-SA"/>
        </w:rPr>
        <w:t>.</w:t>
      </w:r>
    </w:p>
    <w:p>
      <w:pPr>
        <w:keepNext w:val="0"/>
        <w:widowControl w:val="0"/>
        <w:spacing w:before="240" w:after="0" w:line="260" w:lineRule="atLeast"/>
        <w:ind w:left="0" w:right="0" w:firstLine="0"/>
        <w:jc w:val="left"/>
        <w:rPr>
          <w:lang w:val="en-US" w:eastAsia="en-US" w:bidi="ar-SA"/>
        </w:rPr>
      </w:pPr>
      <w:r>
        <w:rPr>
          <w:lang w:val="en-US" w:eastAsia="en-US" w:bidi="ar-SA"/>
        </w:rPr>
        <w:br/>
      </w:r>
      <w:r>
        <w:rPr>
          <w:rFonts w:ascii="arial" w:eastAsia="arial" w:hAnsi="arial" w:cs="arial"/>
          <w:b/>
          <w:color w:val="000000"/>
          <w:sz w:val="20"/>
          <w:lang w:val="en-US" w:eastAsia="en-US" w:bidi="ar-SA"/>
        </w:rPr>
        <w:t>IV. CONCLUSION</w:t>
      </w:r>
    </w:p>
    <w:p>
      <w:pPr>
        <w:keepNext w:val="0"/>
        <w:widowControl w:val="0"/>
        <w:spacing w:before="200" w:after="0" w:line="260" w:lineRule="atLeast"/>
        <w:ind w:left="0" w:right="0" w:firstLine="0"/>
        <w:jc w:val="both"/>
        <w:rPr>
          <w:lang w:val="en-US" w:eastAsia="en-US" w:bidi="ar-SA"/>
        </w:rPr>
      </w:pPr>
      <w:bookmarkStart w:id="37" w:name="Bookmark_para_30"/>
      <w:bookmarkEnd w:id="37"/>
      <w:r>
        <w:rPr>
          <w:rFonts w:ascii="arial" w:eastAsia="arial" w:hAnsi="arial" w:cs="arial"/>
          <w:color w:val="000000"/>
          <w:sz w:val="20"/>
          <w:lang w:val="en-US" w:eastAsia="en-US" w:bidi="ar-SA"/>
        </w:rPr>
        <w:t xml:space="preserve">For the reasons contained herein, (1) Defendant's Motion to Dismiss (Doc. 6) is </w:t>
      </w:r>
      <w:r>
        <w:rPr>
          <w:rFonts w:ascii="arial" w:eastAsia="arial" w:hAnsi="arial" w:cs="arial"/>
          <w:b/>
          <w:color w:val="000000"/>
          <w:sz w:val="20"/>
          <w:lang w:val="en-US" w:eastAsia="en-US" w:bidi="ar-SA"/>
        </w:rPr>
        <w:t>DENIED AS MOOT</w:t>
      </w:r>
      <w:r>
        <w:rPr>
          <w:rFonts w:ascii="arial" w:eastAsia="arial" w:hAnsi="arial" w:cs="arial"/>
          <w:color w:val="000000"/>
          <w:sz w:val="20"/>
          <w:lang w:val="en-US" w:eastAsia="en-US" w:bidi="ar-SA"/>
        </w:rPr>
        <w:t xml:space="preserve"> and (2) Defendant's Motion to Dismiss the Amended Complaint (Doc. 15) is </w:t>
      </w:r>
      <w:r>
        <w:rPr>
          <w:rFonts w:ascii="arial" w:eastAsia="arial" w:hAnsi="arial" w:cs="arial"/>
          <w:b/>
          <w:color w:val="000000"/>
          <w:sz w:val="20"/>
          <w:lang w:val="en-US" w:eastAsia="en-US" w:bidi="ar-SA"/>
        </w:rPr>
        <w:t>GRANTED</w:t>
      </w:r>
      <w:r>
        <w:rPr>
          <w:rFonts w:ascii="arial" w:eastAsia="arial" w:hAnsi="arial" w:cs="arial"/>
          <w:color w:val="000000"/>
          <w:sz w:val="20"/>
          <w:lang w:val="en-US" w:eastAsia="en-US" w:bidi="ar-SA"/>
        </w:rPr>
        <w:t>. An accompanying Order shall issue.</w:t>
      </w:r>
    </w:p>
    <w:p>
      <w:pPr>
        <w:keepNext w:val="0"/>
        <w:widowControl w:val="0"/>
        <w:spacing w:before="200" w:after="0" w:line="260" w:lineRule="atLeast"/>
        <w:ind w:left="0" w:right="0" w:firstLine="0"/>
        <w:jc w:val="both"/>
        <w:rPr>
          <w:lang w:val="en-US" w:eastAsia="en-US" w:bidi="ar-SA"/>
        </w:rPr>
      </w:pPr>
      <w:bookmarkStart w:id="38" w:name="Bookmark_para_31"/>
      <w:bookmarkEnd w:id="38"/>
      <w:r>
        <w:rPr>
          <w:rFonts w:ascii="arial" w:eastAsia="arial" w:hAnsi="arial" w:cs="arial"/>
          <w:color w:val="000000"/>
          <w:sz w:val="20"/>
          <w:lang w:val="en-US" w:eastAsia="en-US" w:bidi="ar-SA"/>
        </w:rPr>
        <w:t>Dated: 11/5/2020</w:t>
      </w:r>
    </w:p>
    <w:p>
      <w:pPr>
        <w:keepNext w:val="0"/>
        <w:widowControl w:val="0"/>
        <w:spacing w:before="200" w:after="0" w:line="260" w:lineRule="atLeast"/>
        <w:ind w:left="0" w:right="0" w:firstLine="0"/>
        <w:jc w:val="both"/>
        <w:rPr>
          <w:lang w:val="en-US" w:eastAsia="en-US" w:bidi="ar-SA"/>
        </w:rPr>
      </w:pPr>
      <w:bookmarkStart w:id="39" w:name="Bookmark_para_32"/>
      <w:bookmarkEnd w:id="39"/>
      <w:r>
        <w:rPr>
          <w:rFonts w:ascii="arial" w:eastAsia="arial" w:hAnsi="arial" w:cs="arial"/>
          <w:color w:val="000000"/>
          <w:sz w:val="20"/>
          <w:lang w:val="en-US" w:eastAsia="en-US" w:bidi="ar-SA"/>
        </w:rPr>
        <w:t>/s/ Robert B. Kugler</w:t>
      </w:r>
    </w:p>
    <w:p>
      <w:pPr>
        <w:keepNext w:val="0"/>
        <w:widowControl w:val="0"/>
        <w:spacing w:before="200" w:after="0" w:line="260" w:lineRule="atLeast"/>
        <w:ind w:left="0" w:right="0" w:firstLine="0"/>
        <w:jc w:val="both"/>
        <w:rPr>
          <w:lang w:val="en-US" w:eastAsia="en-US" w:bidi="ar-SA"/>
        </w:rPr>
      </w:pPr>
      <w:bookmarkStart w:id="40" w:name="Bookmark_para_33"/>
      <w:bookmarkEnd w:id="40"/>
      <w:r>
        <w:rPr>
          <w:rFonts w:ascii="arial" w:eastAsia="arial" w:hAnsi="arial" w:cs="arial"/>
          <w:color w:val="000000"/>
          <w:sz w:val="20"/>
          <w:lang w:val="en-US" w:eastAsia="en-US" w:bidi="ar-SA"/>
        </w:rPr>
        <w:t>ROBERT B. KUGLER</w:t>
      </w:r>
    </w:p>
    <w:p>
      <w:pPr>
        <w:keepNext w:val="0"/>
        <w:widowControl w:val="0"/>
        <w:spacing w:before="200" w:after="0" w:line="260" w:lineRule="atLeast"/>
        <w:ind w:left="0" w:right="0" w:firstLine="0"/>
        <w:jc w:val="both"/>
        <w:rPr>
          <w:lang w:val="en-US" w:eastAsia="en-US" w:bidi="ar-SA"/>
        </w:rPr>
      </w:pPr>
      <w:bookmarkStart w:id="41" w:name="Bookmark_para_34"/>
      <w:bookmarkEnd w:id="41"/>
      <w:r>
        <w:rPr>
          <w:rFonts w:ascii="arial" w:eastAsia="arial" w:hAnsi="arial" w:cs="arial"/>
          <w:color w:val="000000"/>
          <w:sz w:val="20"/>
          <w:lang w:val="en-US" w:eastAsia="en-US" w:bidi="ar-SA"/>
        </w:rPr>
        <w:t>United States District Judge</w:t>
      </w:r>
    </w:p>
    <w:p>
      <w:pPr>
        <w:keepNext w:val="0"/>
        <w:widowControl w:val="0"/>
        <w:spacing w:before="240" w:after="0" w:line="260" w:lineRule="atLeast"/>
        <w:ind w:left="0" w:right="0" w:firstLine="0"/>
        <w:jc w:val="left"/>
        <w:rPr>
          <w:lang w:val="en-US" w:eastAsia="en-US" w:bidi="ar-SA"/>
        </w:rPr>
      </w:pPr>
      <w:r>
        <w:rPr>
          <w:lang w:val="en-US" w:eastAsia="en-US" w:bidi="ar-SA"/>
        </w:rPr>
        <w:br/>
      </w:r>
      <w:r>
        <w:rPr>
          <w:rFonts w:ascii="arial" w:eastAsia="arial" w:hAnsi="arial" w:cs="arial"/>
          <w:b/>
          <w:color w:val="000000"/>
          <w:sz w:val="20"/>
          <w:lang w:val="en-US" w:eastAsia="en-US" w:bidi="ar-SA"/>
        </w:rPr>
        <w:t>ORDER</w:t>
      </w:r>
    </w:p>
    <w:p>
      <w:pPr>
        <w:keepNext w:val="0"/>
        <w:widowControl w:val="0"/>
        <w:spacing w:before="200" w:after="0" w:line="260" w:lineRule="atLeast"/>
        <w:ind w:left="0" w:right="0" w:firstLine="0"/>
        <w:jc w:val="both"/>
        <w:rPr>
          <w:lang w:val="en-US" w:eastAsia="en-US" w:bidi="ar-SA"/>
        </w:rPr>
      </w:pPr>
      <w:bookmarkStart w:id="42" w:name="Bookmark_para_35"/>
      <w:bookmarkEnd w:id="42"/>
      <w:r>
        <w:rPr>
          <w:rFonts w:ascii="arial" w:eastAsia="arial" w:hAnsi="arial" w:cs="arial"/>
          <w:b/>
          <w:color w:val="000000"/>
          <w:sz w:val="20"/>
          <w:lang w:val="en-US" w:eastAsia="en-US" w:bidi="ar-SA"/>
        </w:rPr>
        <w:t>KUGLER</w:t>
      </w:r>
      <w:r>
        <w:rPr>
          <w:rFonts w:ascii="arial" w:eastAsia="arial" w:hAnsi="arial" w:cs="arial"/>
          <w:color w:val="000000"/>
          <w:sz w:val="20"/>
          <w:lang w:val="en-US" w:eastAsia="en-US" w:bidi="ar-SA"/>
        </w:rPr>
        <w:t>, United States District Judge:</w:t>
      </w:r>
    </w:p>
    <w:p>
      <w:pPr>
        <w:keepNext w:val="0"/>
        <w:widowControl w:val="0"/>
        <w:spacing w:before="200" w:after="0" w:line="260" w:lineRule="atLeast"/>
        <w:ind w:left="0" w:right="0" w:firstLine="0"/>
        <w:jc w:val="both"/>
        <w:rPr>
          <w:lang w:val="en-US" w:eastAsia="en-US" w:bidi="ar-SA"/>
        </w:rPr>
      </w:pPr>
      <w:bookmarkStart w:id="43" w:name="Bookmark_para_36"/>
      <w:bookmarkEnd w:id="43"/>
      <w:r>
        <w:rPr>
          <w:rFonts w:ascii="arial" w:eastAsia="arial" w:hAnsi="arial" w:cs="arial"/>
          <w:b/>
          <w:color w:val="000000"/>
          <w:sz w:val="20"/>
          <w:lang w:val="en-US" w:eastAsia="en-US" w:bidi="ar-SA"/>
        </w:rPr>
        <w:t>THIS MATTER</w:t>
      </w:r>
      <w:r>
        <w:rPr>
          <w:rFonts w:ascii="arial" w:eastAsia="arial" w:hAnsi="arial" w:cs="arial"/>
          <w:color w:val="000000"/>
          <w:sz w:val="20"/>
          <w:lang w:val="en-US" w:eastAsia="en-US" w:bidi="ar-SA"/>
        </w:rPr>
        <w:t xml:space="preserve"> having come before the Court upon (1) Defendant's Motion to Dismiss (Doc. 6) and (2) Defendant's Motion to Dismiss Amended Complaint (Doc. 15); for the reasons expressed in the corresponding Opinion,</w:t>
      </w:r>
    </w:p>
    <w:p>
      <w:pPr>
        <w:keepNext w:val="0"/>
        <w:widowControl w:val="0"/>
        <w:spacing w:before="200" w:after="0" w:line="260" w:lineRule="atLeast"/>
        <w:ind w:left="0" w:right="0" w:firstLine="0"/>
        <w:jc w:val="both"/>
        <w:rPr>
          <w:lang w:val="en-US" w:eastAsia="en-US" w:bidi="ar-SA"/>
        </w:rPr>
      </w:pPr>
      <w:bookmarkStart w:id="44" w:name="Bookmark_para_37"/>
      <w:bookmarkEnd w:id="44"/>
      <w:r>
        <w:rPr>
          <w:rFonts w:ascii="arial" w:eastAsia="arial" w:hAnsi="arial" w:cs="arial"/>
          <w:b/>
          <w:color w:val="000000"/>
          <w:sz w:val="20"/>
          <w:lang w:val="en-US" w:eastAsia="en-US" w:bidi="ar-SA"/>
        </w:rPr>
        <w:t>IT IS HEREBY ORDERED</w:t>
      </w:r>
      <w:r>
        <w:rPr>
          <w:rFonts w:ascii="arial" w:eastAsia="arial" w:hAnsi="arial" w:cs="arial"/>
          <w:color w:val="000000"/>
          <w:sz w:val="20"/>
          <w:lang w:val="en-US" w:eastAsia="en-US" w:bidi="ar-SA"/>
        </w:rPr>
        <w:t xml:space="preserve"> that Defendant's Motion to Dismiss the Amended Complaint (Doc. 15) is </w:t>
      </w:r>
      <w:r>
        <w:rPr>
          <w:rFonts w:ascii="arial" w:eastAsia="arial" w:hAnsi="arial" w:cs="arial"/>
          <w:b/>
          <w:color w:val="000000"/>
          <w:sz w:val="20"/>
          <w:lang w:val="en-US" w:eastAsia="en-US" w:bidi="ar-SA"/>
        </w:rPr>
        <w:t>GRANTED</w:t>
      </w:r>
      <w:r>
        <w:rPr>
          <w:rFonts w:ascii="arial" w:eastAsia="arial" w:hAnsi="arial" w:cs="arial"/>
          <w:color w:val="000000"/>
          <w:sz w:val="20"/>
          <w:lang w:val="en-US" w:eastAsia="en-US" w:bidi="ar-SA"/>
        </w:rPr>
        <w:t xml:space="preserve">, and the Motion to Dismiss (Doc. 6) is </w:t>
      </w:r>
      <w:r>
        <w:rPr>
          <w:rFonts w:ascii="arial" w:eastAsia="arial" w:hAnsi="arial" w:cs="arial"/>
          <w:b/>
          <w:color w:val="000000"/>
          <w:sz w:val="20"/>
          <w:lang w:val="en-US" w:eastAsia="en-US" w:bidi="ar-SA"/>
        </w:rPr>
        <w:t>DENIED AS MOOT</w:t>
      </w:r>
      <w:r>
        <w:rPr>
          <w:rFonts w:ascii="arial" w:eastAsia="arial" w:hAnsi="arial" w:cs="arial"/>
          <w:color w:val="000000"/>
          <w:sz w:val="20"/>
          <w:lang w:val="en-US" w:eastAsia="en-US" w:bidi="ar-SA"/>
        </w:rPr>
        <w:t>.</w:t>
      </w:r>
    </w:p>
    <w:p>
      <w:pPr>
        <w:keepNext w:val="0"/>
        <w:widowControl w:val="0"/>
        <w:spacing w:before="200" w:after="0" w:line="260" w:lineRule="atLeast"/>
        <w:ind w:left="0" w:right="0" w:firstLine="0"/>
        <w:jc w:val="both"/>
        <w:rPr>
          <w:lang w:val="en-US" w:eastAsia="en-US" w:bidi="ar-SA"/>
        </w:rPr>
      </w:pPr>
      <w:bookmarkStart w:id="45" w:name="Bookmark_para_38"/>
      <w:bookmarkEnd w:id="45"/>
      <w:r>
        <w:rPr>
          <w:rFonts w:ascii="arial" w:eastAsia="arial" w:hAnsi="arial" w:cs="arial"/>
          <w:color w:val="000000"/>
          <w:sz w:val="20"/>
          <w:lang w:val="en-US" w:eastAsia="en-US" w:bidi="ar-SA"/>
        </w:rPr>
        <w:t>Dated: 11/5/2020</w:t>
      </w:r>
    </w:p>
    <w:p>
      <w:pPr>
        <w:keepNext w:val="0"/>
        <w:widowControl w:val="0"/>
        <w:spacing w:before="200" w:after="0" w:line="260" w:lineRule="atLeast"/>
        <w:ind w:left="0" w:right="0" w:firstLine="0"/>
        <w:jc w:val="both"/>
        <w:rPr>
          <w:lang w:val="en-US" w:eastAsia="en-US" w:bidi="ar-SA"/>
        </w:rPr>
      </w:pPr>
      <w:bookmarkStart w:id="46" w:name="Bookmark_para_39"/>
      <w:bookmarkEnd w:id="46"/>
      <w:r>
        <w:rPr>
          <w:rFonts w:ascii="arial" w:eastAsia="arial" w:hAnsi="arial" w:cs="arial"/>
          <w:color w:val="000000"/>
          <w:sz w:val="20"/>
          <w:lang w:val="en-US" w:eastAsia="en-US" w:bidi="ar-SA"/>
        </w:rPr>
        <w:t>/s/ Robert B. Kugler</w:t>
      </w:r>
    </w:p>
    <w:p>
      <w:pPr>
        <w:keepNext w:val="0"/>
        <w:widowControl w:val="0"/>
        <w:spacing w:before="200" w:after="0" w:line="260" w:lineRule="atLeast"/>
        <w:ind w:left="0" w:right="0" w:firstLine="0"/>
        <w:jc w:val="both"/>
        <w:rPr>
          <w:lang w:val="en-US" w:eastAsia="en-US" w:bidi="ar-SA"/>
        </w:rPr>
      </w:pPr>
      <w:bookmarkStart w:id="47" w:name="Bookmark_para_40"/>
      <w:bookmarkEnd w:id="47"/>
      <w:r>
        <w:rPr>
          <w:rFonts w:ascii="arial" w:eastAsia="arial" w:hAnsi="arial" w:cs="arial"/>
          <w:color w:val="000000"/>
          <w:sz w:val="20"/>
          <w:lang w:val="en-US" w:eastAsia="en-US" w:bidi="ar-SA"/>
        </w:rPr>
        <w:t>ROBERT B. KUGLER</w:t>
      </w:r>
      <w:r>
        <w:rPr>
          <w:rFonts w:ascii="arial" w:eastAsia="arial" w:hAnsi="arial" w:cs="arial"/>
          <w:b/>
          <w:color w:val="000000"/>
          <w:sz w:val="20"/>
          <w:lang w:val="en-US" w:eastAsia="en-US" w:bidi="ar-SA"/>
        </w:rPr>
        <w:t> [*16] </w:t>
      </w:r>
    </w:p>
    <w:p>
      <w:pPr>
        <w:keepNext w:val="0"/>
        <w:widowControl w:val="0"/>
        <w:spacing w:before="200" w:after="0" w:line="260" w:lineRule="atLeast"/>
        <w:ind w:left="0" w:right="0" w:firstLine="0"/>
        <w:jc w:val="both"/>
        <w:rPr>
          <w:lang w:val="en-US" w:eastAsia="en-US" w:bidi="ar-SA"/>
        </w:rPr>
      </w:pPr>
      <w:bookmarkStart w:id="48" w:name="Bookmark_para_41"/>
      <w:bookmarkEnd w:id="48"/>
      <w:r>
        <w:rPr>
          <w:rFonts w:ascii="arial" w:eastAsia="arial" w:hAnsi="arial" w:cs="arial"/>
          <w:color w:val="000000"/>
          <w:sz w:val="20"/>
          <w:lang w:val="en-US" w:eastAsia="en-US" w:bidi="ar-SA"/>
        </w:rPr>
        <w:t>United States District Judge</w:t>
      </w:r>
    </w:p>
    <w:p>
      <w:pPr>
        <w:rPr>
          <w:lang w:val="en-US" w:eastAsia="en-US" w:bidi="ar-SA"/>
        </w:rPr>
      </w:pPr>
    </w:p>
    <w:p>
      <w:pPr>
        <w:ind w:left="200"/>
        <w:rPr>
          <w:lang w:val="en-US" w:eastAsia="en-US" w:bidi="ar-SA"/>
        </w:rPr>
      </w:pPr>
      <w:r>
        <w:rPr>
          <w:lang w:val="en-US" w:eastAsia="en-US" w:bidi="ar-SA"/>
        </w:rPr>
        <w:br/>
      </w:r>
      <w:r>
        <w:pict>
          <v:line id="_x0000_s1028" style="position:absolute;z-index:251660288" from="0,10pt" to="512pt,10pt" strokecolor="black" strokeweight="1pt">
            <v:stroke linestyle="single"/>
          </v:line>
        </w:pict>
      </w:r>
      <w:r>
        <w:rPr>
          <w:b/>
          <w:color w:val="767676"/>
          <w:sz w:val="16"/>
          <w:lang w:val="en-US" w:eastAsia="en-US" w:bidi="ar-SA"/>
        </w:rPr>
        <w:t>End of Document</w:t>
      </w:r>
    </w:p>
    <w:sectPr>
      <w:type w:val="continuous"/>
      <w:pgMar w:top="840" w:right="1000" w:bottom="840" w:left="1000" w:header="400" w:footer="400"/>
      <w:pgNumType w:fmt="decimal"/>
      <w:cols w:num="2" w:space="240" w:equalWidt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240" w:type="dxa"/>
      <w:jc w:val="center"/>
      <w:tblLayout w:type="fixed"/>
      <w:tblCellMar>
        <w:left w:w="108" w:type="dxa"/>
        <w:right w:w="108" w:type="dxa"/>
      </w:tblCellMar>
    </w:tblPr>
    <w:tblGrid>
      <w:gridCol w:w="10240"/>
    </w:tblGrid>
    <w:tr>
      <w:tblPrEx>
        <w:tblW w:w="10240" w:type="dxa"/>
        <w:jc w:val="center"/>
        <w:tblLayout w:type="fixed"/>
        <w:tblCellMar>
          <w:left w:w="108" w:type="dxa"/>
          <w:right w:w="108" w:type="dxa"/>
        </w:tblCellMar>
      </w:tblPrEx>
      <w:trPr>
        <w:trHeight w:val="15"/>
        <w:jc w:val="center"/>
      </w:trPr>
      <w:tc>
        <w:tcPr>
          <w:tcW w:w="10240" w:type="dxa"/>
          <w:shd w:val="solid" w:color="000000" w:fill="000000"/>
        </w:tcPr>
        <w:p>
          <w:pPr>
            <w:keepNext w:val="0"/>
            <w:spacing w:after="0" w:line="40" w:lineRule="exact"/>
            <w:ind w:left="0" w:right="0" w:firstLine="0"/>
            <w:jc w:val="both"/>
          </w:pPr>
        </w:p>
      </w:tc>
    </w:tr>
  </w:tbl>
  <w:p>
    <w:pPr>
      <w:keepNext w:val="0"/>
      <w:spacing w:after="0" w:line="40" w:lineRule="exact"/>
      <w:ind w:left="0" w:right="0" w:firstLine="0"/>
      <w:jc w:val="both"/>
    </w:pPr>
  </w:p>
  <w:tbl>
    <w:tblPr>
      <w:tblStyle w:val="TableNormal"/>
      <w:tblW w:w="10240" w:type="dxa"/>
      <w:jc w:val="center"/>
      <w:tblLayout w:type="fixed"/>
      <w:tblCellMar>
        <w:left w:w="108" w:type="dxa"/>
        <w:right w:w="108" w:type="dxa"/>
      </w:tblCellMar>
    </w:tblPr>
    <w:tblGrid>
      <w:gridCol w:w="10240"/>
    </w:tblGrid>
    <w:tr>
      <w:tblPrEx>
        <w:tblW w:w="10240" w:type="dxa"/>
        <w:jc w:val="center"/>
        <w:tblLayout w:type="fixed"/>
        <w:tblCellMar>
          <w:left w:w="108" w:type="dxa"/>
          <w:right w:w="108" w:type="dxa"/>
        </w:tblCellMar>
      </w:tblPrEx>
      <w:trPr>
        <w:trHeight w:val="480"/>
        <w:jc w:val="center"/>
      </w:trPr>
      <w:tc>
        <w:tcPr>
          <w:tcW w:w="10240" w:type="dxa"/>
          <w:vAlign w:val="center"/>
        </w:tcPr>
        <w:p>
          <w:pPr>
            <w:keepNext w:val="0"/>
            <w:spacing w:after="0" w:line="260" w:lineRule="atLeast"/>
            <w:ind w:left="0" w:righ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68.25pt;height:15.75pt">
                <v:imagedata r:id="rId1" o:title=""/>
              </v:shape>
            </w:pict>
          </w:r>
          <w:r>
            <w:rPr>
              <w:rFonts w:ascii="Arial" w:eastAsia="Arial" w:hAnsi="Arial" w:cs="Arial"/>
              <w:b w:val="0"/>
              <w:i w:val="0"/>
              <w:strike w:val="0"/>
              <w:noProof w:val="0"/>
              <w:color w:val="000000"/>
              <w:position w:val="10"/>
              <w:sz w:val="18"/>
              <w:u w:val="none"/>
              <w:vertAlign w:val="baseline"/>
            </w:rPr>
            <w:t xml:space="preserve">| </w:t>
          </w:r>
          <w:hyperlink r:id="rId2" w:history="1">
            <w:r>
              <w:rPr>
                <w:rFonts w:ascii="Arial" w:eastAsia="Arial" w:hAnsi="Arial" w:cs="Arial"/>
                <w:b w:val="0"/>
                <w:i w:val="0"/>
                <w:strike w:val="0"/>
                <w:noProof w:val="0"/>
                <w:color w:val="0077CC"/>
                <w:position w:val="10"/>
                <w:sz w:val="18"/>
                <w:u w:val="single"/>
                <w:shd w:val="clear" w:color="auto" w:fill="auto"/>
                <w:vertAlign w:val="baseline"/>
              </w:rPr>
              <w:t>About LexisNexis</w:t>
            </w:r>
          </w:hyperlink>
          <w:r>
            <w:rPr>
              <w:rFonts w:ascii="Arial" w:eastAsia="Arial" w:hAnsi="Arial" w:cs="Arial"/>
              <w:b w:val="0"/>
              <w:i w:val="0"/>
              <w:strike w:val="0"/>
              <w:noProof w:val="0"/>
              <w:color w:val="000000"/>
              <w:position w:val="10"/>
              <w:sz w:val="18"/>
              <w:u w:val="none"/>
              <w:vertAlign w:val="baseline"/>
            </w:rPr>
            <w:t xml:space="preserve"> | </w:t>
          </w:r>
          <w:hyperlink r:id="rId3" w:history="1">
            <w:r>
              <w:rPr>
                <w:rFonts w:ascii="Arial" w:eastAsia="Arial" w:hAnsi="Arial" w:cs="Arial"/>
                <w:b w:val="0"/>
                <w:i w:val="0"/>
                <w:strike w:val="0"/>
                <w:noProof w:val="0"/>
                <w:color w:val="0077CC"/>
                <w:position w:val="10"/>
                <w:sz w:val="18"/>
                <w:u w:val="single"/>
                <w:shd w:val="clear" w:color="auto" w:fill="auto"/>
                <w:vertAlign w:val="baseline"/>
              </w:rPr>
              <w:t>Privacy Policy</w:t>
            </w:r>
          </w:hyperlink>
          <w:r>
            <w:rPr>
              <w:rFonts w:ascii="Arial" w:eastAsia="Arial" w:hAnsi="Arial" w:cs="Arial"/>
              <w:b w:val="0"/>
              <w:i w:val="0"/>
              <w:strike w:val="0"/>
              <w:noProof w:val="0"/>
              <w:color w:val="000000"/>
              <w:position w:val="10"/>
              <w:sz w:val="18"/>
              <w:u w:val="none"/>
              <w:vertAlign w:val="baseline"/>
            </w:rPr>
            <w:t xml:space="preserve"> | </w:t>
          </w:r>
          <w:hyperlink r:id="rId4" w:history="1">
            <w:r>
              <w:rPr>
                <w:rFonts w:ascii="Arial" w:eastAsia="Arial" w:hAnsi="Arial" w:cs="Arial"/>
                <w:b w:val="0"/>
                <w:i w:val="0"/>
                <w:strike w:val="0"/>
                <w:noProof w:val="0"/>
                <w:color w:val="0077CC"/>
                <w:position w:val="10"/>
                <w:sz w:val="18"/>
                <w:u w:val="single"/>
                <w:shd w:val="clear" w:color="auto" w:fill="auto"/>
                <w:vertAlign w:val="baseline"/>
              </w:rPr>
              <w:t>Terms &amp; Conditions</w:t>
            </w:r>
          </w:hyperlink>
          <w:r>
            <w:rPr>
              <w:rFonts w:ascii="Arial" w:eastAsia="Arial" w:hAnsi="Arial" w:cs="Arial"/>
              <w:b w:val="0"/>
              <w:i w:val="0"/>
              <w:strike w:val="0"/>
              <w:noProof w:val="0"/>
              <w:color w:val="000000"/>
              <w:position w:val="10"/>
              <w:sz w:val="18"/>
              <w:u w:val="none"/>
              <w:vertAlign w:val="baseline"/>
            </w:rPr>
            <w:t xml:space="preserve"> | </w:t>
          </w:r>
          <w:hyperlink r:id="rId5" w:history="1">
            <w:r>
              <w:rPr>
                <w:rFonts w:ascii="Arial" w:eastAsia="Arial" w:hAnsi="Arial" w:cs="Arial"/>
                <w:b w:val="0"/>
                <w:i w:val="0"/>
                <w:strike w:val="0"/>
                <w:noProof w:val="0"/>
                <w:color w:val="0077CC"/>
                <w:position w:val="10"/>
                <w:sz w:val="18"/>
                <w:u w:val="single"/>
                <w:shd w:val="clear" w:color="auto" w:fill="auto"/>
                <w:vertAlign w:val="baseline"/>
              </w:rPr>
              <w:t>Copyright © 2020 LexisNexis</w:t>
            </w:r>
          </w:hyperlink>
        </w:p>
      </w:tc>
    </w:tr>
    <w:tr>
      <w:tblPrEx>
        <w:tblW w:w="10240" w:type="dxa"/>
        <w:jc w:val="center"/>
        <w:tblLayout w:type="fixed"/>
        <w:tblCellMar>
          <w:left w:w="108" w:type="dxa"/>
          <w:right w:w="108" w:type="dxa"/>
        </w:tblCellMar>
      </w:tblPrEx>
      <w:trPr>
        <w:trHeight w:val="620"/>
        <w:jc w:val="center"/>
      </w:trPr>
      <w:tc>
        <w:tcPr>
          <w:tcW w:w="10240" w:type="dxa"/>
          <w:vAlign w:val="top"/>
        </w:tcPr>
        <w:p>
          <w:pPr>
            <w:keepNext w:val="0"/>
            <w:spacing w:after="0" w:line="260" w:lineRule="atLeast"/>
            <w:ind w:left="0" w:right="0" w:firstLine="0"/>
            <w:jc w:val="center"/>
          </w:pPr>
          <w:r>
            <w:rPr>
              <w:rFonts w:ascii="Arial" w:eastAsia="Arial" w:hAnsi="Arial" w:cs="Arial"/>
              <w:b w:val="0"/>
              <w:i w:val="0"/>
              <w:strike w:val="0"/>
              <w:noProof w:val="0"/>
              <w:color w:val="000000"/>
              <w:position w:val="10"/>
              <w:sz w:val="18"/>
              <w:u w:val="none"/>
              <w:vertAlign w:val="baseline"/>
            </w:rPr>
            <w:t>John Anooshian</w:t>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r>
            <w:rPr>
              <w:rFonts w:ascii="arial" w:eastAsia="arial" w:hAnsi="arial" w:cs="arial"/>
              <w:sz w:val="20"/>
            </w:rPr>
            <w:t>John Anooshian</w:t>
          </w:r>
        </w:p>
      </w:tc>
      <w:tc>
        <w:tcPr>
          <w:tcW w:w="2600" w:type="dxa"/>
          <w:tcMar>
            <w:top w:w="200" w:type="dxa"/>
          </w:tcMar>
          <w:vAlign w:val="center"/>
        </w:tc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r>
      <w:rPr>
        <w:rFonts w:ascii="arial" w:eastAsia="arial" w:hAnsi="arial" w:cs="arial"/>
        <w:sz w:val="20"/>
      </w:rPr>
      <w:t>John Anooshian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t>7</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sz w:val="20"/>
            </w:rPr>
            <w:t>7</w:t>
          </w:r>
          <w:r>
            <w:rPr>
              <w:rFonts w:ascii="arial" w:eastAsia="arial" w:hAnsi="arial" w:cs="arial"/>
              <w:sz w:val="20"/>
            </w:rPr>
            <w:fldChar w:fldCharType="end"/>
          </w: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arial" w:eastAsia="arial" w:hAnsi="arial" w:cs="arial"/>
              <w:sz w:val="20"/>
            </w:rPr>
            <w:t>N&amp;S Rest. LLC v. Cumberland Mut. Fire Ins. Co.</w:t>
          </w: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hyperlink" Target="https://advance.lexis.com/api/document?collection=cases&amp;id=urn:contentItem:617B-66P1-JSRM-62D1-00000-00&amp;context=" TargetMode="External" /><Relationship Id="rId19" Type="http://schemas.openxmlformats.org/officeDocument/2006/relationships/hyperlink" Target="https://advance.lexis.com/api/document?collection=statutes-legislation&amp;id=urn:contentItem:5GYC-1WP1-6N19-F0YW-00000-00&amp;context=" TargetMode="External" /><Relationship Id="rId2" Type="http://schemas.openxmlformats.org/officeDocument/2006/relationships/webSettings" Target="webSettings.xml" /><Relationship Id="rId20" Type="http://schemas.openxmlformats.org/officeDocument/2006/relationships/hyperlink" Target="https://advance.lexis.com/api/document?collection=cases&amp;id=urn:contentItem:51Y5-CJY1-652R-101P-00000-00&amp;context=" TargetMode="External" /><Relationship Id="rId21" Type="http://schemas.openxmlformats.org/officeDocument/2006/relationships/hyperlink" Target="https://advance.lexis.com/api/document?collection=cases&amp;id=urn:contentItem:4RS8-1YB0-TXFX-52VP-00000-00&amp;context=" TargetMode="External" /><Relationship Id="rId22" Type="http://schemas.openxmlformats.org/officeDocument/2006/relationships/hyperlink" Target="https://advance.lexis.com/api/document?collection=cases&amp;id=urn:contentItem:4W9Y-4KS0-TXFX-1325-00000-00&amp;context=" TargetMode="External" /><Relationship Id="rId23" Type="http://schemas.openxmlformats.org/officeDocument/2006/relationships/hyperlink" Target="https://advance.lexis.com/api/document?collection=cases&amp;id=urn:contentItem:4NSN-8840-004C-002M-00000-00&amp;context=" TargetMode="External" /><Relationship Id="rId24" Type="http://schemas.openxmlformats.org/officeDocument/2006/relationships/hyperlink" Target="https://advance.lexis.com/api/document?collection=cases&amp;id=urn:contentItem:4760-DK60-0038-X481-00000-00&amp;context=" TargetMode="External" /><Relationship Id="rId25" Type="http://schemas.openxmlformats.org/officeDocument/2006/relationships/hyperlink" Target="https://advance.lexis.com/api/document?collection=cases&amp;id=urn:contentItem:51PJ-8WH1-652R-1000-00000-00&amp;context=" TargetMode="External" /><Relationship Id="rId26" Type="http://schemas.openxmlformats.org/officeDocument/2006/relationships/hyperlink" Target="https://advance.lexis.com/api/document?collection=cases&amp;id=urn:contentItem:4PP9-8SR0-TXFX-51VN-00000-00&amp;context=" TargetMode="External" /><Relationship Id="rId27" Type="http://schemas.openxmlformats.org/officeDocument/2006/relationships/hyperlink" Target="https://advance.lexis.com/api/document?collection=cases&amp;id=urn:contentItem:3S4X-8PN0-003B-708F-00000-00&amp;context=" TargetMode="External" /><Relationship Id="rId28" Type="http://schemas.openxmlformats.org/officeDocument/2006/relationships/hyperlink" Target="https://advance.lexis.com/api/document?collection=cases&amp;id=urn:contentItem:564N-2JT1-F04H-V0G8-00000-00&amp;context=" TargetMode="External" /><Relationship Id="rId29" Type="http://schemas.openxmlformats.org/officeDocument/2006/relationships/hyperlink" Target="https://advance.lexis.com/api/document?collection=cases&amp;id=urn:contentItem:3S3J-VMS0-003C-P2P1-00000-00&amp;context=" TargetMode="External" /><Relationship Id="rId3" Type="http://schemas.openxmlformats.org/officeDocument/2006/relationships/fontTable" Target="fontTable.xml" /><Relationship Id="rId30" Type="http://schemas.openxmlformats.org/officeDocument/2006/relationships/hyperlink" Target="https://advance.lexis.com/api/document?collection=cases&amp;id=urn:contentItem:3S3J-W9P0-003C-P44N-00000-00&amp;context=" TargetMode="External" /><Relationship Id="rId31" Type="http://schemas.openxmlformats.org/officeDocument/2006/relationships/hyperlink" Target="https://advance.lexis.com/api/document?collection=cases&amp;id=urn:contentItem:4D1M-W7N0-0038-X319-00000-00&amp;context=" TargetMode="External" /><Relationship Id="rId32" Type="http://schemas.openxmlformats.org/officeDocument/2006/relationships/hyperlink" Target="https://advance.lexis.com/api/document?collection=cases&amp;id=urn:contentItem:4BHK-VBB0-0039-429G-00000-00&amp;context=" TargetMode="External" /><Relationship Id="rId33" Type="http://schemas.openxmlformats.org/officeDocument/2006/relationships/hyperlink" Target="https://advance.lexis.com/api/document?collection=cases&amp;id=urn:contentItem:4C0V-TJP0-0039-41D1-00000-00&amp;context=" TargetMode="External" /><Relationship Id="rId34" Type="http://schemas.openxmlformats.org/officeDocument/2006/relationships/hyperlink" Target="https://advance.lexis.com/api/document?collection=cases&amp;id=urn:contentItem:3RJN-3YD0-0039-43N0-00000-00&amp;context=" TargetMode="External" /><Relationship Id="rId35" Type="http://schemas.openxmlformats.org/officeDocument/2006/relationships/hyperlink" Target="https://advance.lexis.com/api/document?collection=cases&amp;id=urn:contentItem:5F40-C711-F151-1001-00000-00&amp;context=" TargetMode="External" /><Relationship Id="rId36" Type="http://schemas.openxmlformats.org/officeDocument/2006/relationships/hyperlink" Target="https://advance.lexis.com/api/document?collection=cases&amp;id=urn:contentItem:7Y9F-JJ40-YB0S-R006-00000-00&amp;context=" TargetMode="External" /><Relationship Id="rId37" Type="http://schemas.openxmlformats.org/officeDocument/2006/relationships/hyperlink" Target="https://advance.lexis.com/api/document?collection=cases&amp;id=urn:contentItem:83B2-BB51-652R-11F2-00000-00&amp;context=" TargetMode="External" /><Relationship Id="rId38" Type="http://schemas.openxmlformats.org/officeDocument/2006/relationships/hyperlink" Target="https://advance.lexis.com/api/document?collection=cases&amp;id=urn:contentItem:5STP-2WR1-F956-S117-00000-00&amp;context=" TargetMode="External" /><Relationship Id="rId39" Type="http://schemas.openxmlformats.org/officeDocument/2006/relationships/hyperlink" Target="https://advance.lexis.com/api/document?collection=cases&amp;id=urn:contentItem:5SD5-N0V1-JBDT-B3SF-00000-00&amp;context=" TargetMode="External" /><Relationship Id="rId4" Type="http://schemas.openxmlformats.org/officeDocument/2006/relationships/image" Target="media/image1.png" /><Relationship Id="rId40" Type="http://schemas.openxmlformats.org/officeDocument/2006/relationships/hyperlink" Target="https://advance.lexis.com/api/document?collection=cases&amp;id=urn:contentItem:5WMJ-MVW1-F7VM-S16F-00000-00&amp;context=" TargetMode="External" /><Relationship Id="rId41" Type="http://schemas.openxmlformats.org/officeDocument/2006/relationships/hyperlink" Target="https://advance.lexis.com/api/document?collection=cases&amp;id=urn:contentItem:4NBR-FT90-TVVX-S27W-00000-00&amp;context=" TargetMode="External" /><Relationship Id="rId42" Type="http://schemas.openxmlformats.org/officeDocument/2006/relationships/hyperlink" Target="https://advance.lexis.com/api/document?collection=cases&amp;id=urn:contentItem:4D3R-M480-0039-41M9-00000-00&amp;context=" TargetMode="External" /><Relationship Id="rId43" Type="http://schemas.openxmlformats.org/officeDocument/2006/relationships/hyperlink" Target="https://advance.lexis.com/api/document?collection=cases&amp;id=urn:contentItem:3VWW-12V0-0038-Y283-00000-00&amp;context=" TargetMode="External" /><Relationship Id="rId44" Type="http://schemas.openxmlformats.org/officeDocument/2006/relationships/hyperlink" Target="https://advance.lexis.com/api/document?collection=cases&amp;id=urn:contentItem:3RRN-0DR0-003C-N3WB-00000-00&amp;context=" TargetMode="External" /><Relationship Id="rId45" Type="http://schemas.openxmlformats.org/officeDocument/2006/relationships/hyperlink" Target="https://advance.lexis.com/api/document?collection=cases&amp;id=urn:contentItem:60YH-X821-JG59-20NR-00000-00&amp;context=" TargetMode="External" /><Relationship Id="rId46" Type="http://schemas.openxmlformats.org/officeDocument/2006/relationships/hyperlink" Target="https://advance.lexis.com/api/document?collection=cases&amp;id=urn:contentItem:60M3-R5R1-JJ6S-62XW-00000-00&amp;context=" TargetMode="External" /><Relationship Id="rId47" Type="http://schemas.openxmlformats.org/officeDocument/2006/relationships/hyperlink" Target="https://advance.lexis.com/api/document?collection=cases&amp;id=urn:contentItem:60T8-XCN1-F7G6-61H9-00000-00&amp;context=" TargetMode="External" /><Relationship Id="rId48" Type="http://schemas.openxmlformats.org/officeDocument/2006/relationships/hyperlink" Target="https://advance.lexis.com/api/document?collection=cases&amp;id=urn:contentItem:60WY-S5C1-JSJC-X2DF-00000-00&amp;context=" TargetMode="External" /><Relationship Id="rId49" Type="http://schemas.openxmlformats.org/officeDocument/2006/relationships/hyperlink" Target="https://advance.lexis.com/api/document?collection=cases&amp;id=urn:contentItem:6121-SR11-DYMS-64GC-00000-00&amp;context=" TargetMode="External" /><Relationship Id="rId5" Type="http://schemas.openxmlformats.org/officeDocument/2006/relationships/hyperlink" Target="https://advance.lexis.com/api/document?id=urn:contentItem:617B-66P1-JSRM-62D1-00000-00&amp;idtype=PID&amp;context=1000516" TargetMode="External" /><Relationship Id="rId50" Type="http://schemas.openxmlformats.org/officeDocument/2006/relationships/hyperlink" Target="https://advance.lexis.com/api/document?collection=cases&amp;id=urn:contentItem:610V-5J31-JYYX-608R-00000-00&amp;context=" TargetMode="External" /><Relationship Id="rId51" Type="http://schemas.openxmlformats.org/officeDocument/2006/relationships/hyperlink" Target="https://advance.lexis.com/api/document?collection=cases&amp;id=urn:contentItem:3S4X-6GG0-003B-7181-00000-00&amp;context=" TargetMode="External" /><Relationship Id="rId52" Type="http://schemas.openxmlformats.org/officeDocument/2006/relationships/styles" Target="styl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er2.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hyperlink" Target="http://www.lexisnexis.com/about-us/" TargetMode="External" /><Relationship Id="rId3" Type="http://schemas.openxmlformats.org/officeDocument/2006/relationships/hyperlink" Target="http://www.lexisnexis.com/en-us/terms/privacy-policy.page" TargetMode="External" /><Relationship Id="rId4" Type="http://schemas.openxmlformats.org/officeDocument/2006/relationships/hyperlink" Target="http://www.lexisnexis.com/terms/general.aspx" TargetMode="External" /><Relationship Id="rId5" Type="http://schemas.openxmlformats.org/officeDocument/2006/relationships/hyperlink" Target="http://www.lexisnexis.com/terms/copyright.aspx" TargetMode="External" /></Relationships>
</file>

<file path=docProps/app.xml><?xml version="1.0" encoding="utf-8"?>
<Properties xmlns="http://schemas.openxmlformats.org/officeDocument/2006/extended-properties" xmlns:vt="http://schemas.openxmlformats.org/officeDocument/2006/docPropsVTypes">
  <Template>Normal.dot</Template>
  <TotalTime>0</TotalTime>
  <Pages>7</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N&amp;S Rest. LLC v. Cumberland Mut. Fire Ins. Co.</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129733042</vt:lpwstr>
  </property>
  <property fmtid="{D5CDD505-2E9C-101B-9397-08002B2CF9AE}" pid="3" name="LADocCount">
    <vt:i4>2</vt:i4>
  </property>
  <property fmtid="{D5CDD505-2E9C-101B-9397-08002B2CF9AE}" pid="4" name="UserPermID">
    <vt:lpwstr>urn:user:PA182195472</vt:lpwstr>
  </property>
</Properties>
</file>